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إبراهيم بن يحيى الخواجا خير الدين بن الخواجا برهان الدين الرومي التاجر الكارمي
</w:t>
      </w:r>
    </w:p>
    <w:p>
      <w:pPr>
        <w:jc w:val="start"/>
        <w:bidi/>
      </w:pPr>
      <w:r>
        <w:rPr>
          <w:rFonts w:ascii="arial" w:hAnsi="arial" w:eastAsia="arial" w:cs="arial"/>
          <w:sz w:val="28"/>
          <w:szCs w:val="28"/>
          <w:b w:val="1"/>
          <w:bCs w:val="1"/>
          <w:rtl/>
        </w:rPr>
        <w:t xml:space="preserve">خضر بن إبراهيم بن يحيى الخواجا خير الدين بن الخواجا برهان الدين الرومي التاجر الكارمي
</w:t>
      </w:r>
    </w:p>
    <w:p>
      <w:pPr/>
      <w:r>
        <w:rPr/>
        <w:t xml:space="preserve">خضر بن إبراهيم بن يحيى، الخواجا خير الدين بن الخواجا برهان الدين الرومي التاجر الكارمي: </w:t>
      </w:r>
    </w:p>
    <w:p/>
    <w:p>
      <w:pPr/>
      <w:r>
        <w:rPr/>
        <w:t xml:space="preserve">كان ذا ملاءة وافرة، سكن عدن مع أبيه مدة سنين، ثم انتقل إلى مكة، وأحب الانقطاع بها، ومضى منها إلى مصر، وعاد إليها بعد موت أبيه في سنة إحدى عشرة وثمانمائة، واشترى بها ملكا واستأجر وقفا، ثم أعرض عن الإقامة بمكة، لتعب لحقه بها من جهة الدولة، وسكن القاهرة، وبها مات في ثالث ذي القعدة سنة عشرين وثمانمائة. وكان ينطوى على دين، وقلة سماح، ومجموع مجاورته بمكة، يزيد على خمسة أعوام.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2026-08-05T19:25:45+03:00</dcterms:created>
  <dcterms:modified xsi:type="dcterms:W3CDTF">2026-08-05T19:25:45+03:00</dcterms:modified>
</cp:coreProperties>
</file>

<file path=docProps/custom.xml><?xml version="1.0" encoding="utf-8"?>
<Properties xmlns="http://schemas.openxmlformats.org/officeDocument/2006/custom-properties" xmlns:vt="http://schemas.openxmlformats.org/officeDocument/2006/docPropsVTypes"/>
</file>