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خرص بن عجلان بن رميثة بن أبي نمى الحسني المكي
</w:t>
      </w:r>
    </w:p>
    <w:p>
      <w:pPr>
        <w:jc w:val="start"/>
        <w:bidi/>
      </w:pPr>
      <w:r>
        <w:rPr>
          <w:rFonts w:ascii="arial" w:hAnsi="arial" w:eastAsia="arial" w:cs="arial"/>
          <w:sz w:val="28"/>
          <w:szCs w:val="28"/>
          <w:b w:val="1"/>
          <w:bCs w:val="1"/>
          <w:rtl/>
        </w:rPr>
        <w:t xml:space="preserve">خرص بن عجلان بن رميثة بن أبي نمى الحسني المكي
</w:t>
      </w:r>
    </w:p>
    <w:p>
      <w:pPr/>
      <w:r>
        <w:rPr/>
        <w:t xml:space="preserve">خرص بن عجلان بن رميثة بن أبي نمى الحسني المكي: </w:t>
      </w:r>
    </w:p>
    <w:p/>
    <w:p>
      <w:pPr/>
      <w:r>
        <w:rPr/>
        <w:t xml:space="preserve">بلغني أنه ناب عن أبيه في إمرة مكة، وأنه سافر إلى العراق، وعاد إلى مكة في حالة جميلة، ومعه طبلخانة وغيرها مما يتخذ الأمراء، وصار يضرب طبلخانة مع طبلخانة أبيه وعمه ثقبة بن رميثة، وأن عمه جزع لذلك. وقال لأخيه عجلان: إما أن تكون شريكى أو ابنك، فأمر عجلان ابنه بالترك فأبى، فترك عجلان ضرب طبلخانه، ثم توفى خرص بإثر ذلك. ولعل وفاته في آخر عشر الستين وسبعمائة، وهي في هذا العشر أو في الذي قبله، والله أعلم. وأمه أم الكامل بنت حميضة بن أبي نمى.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2026-08-05T23:11:48+03:00</dcterms:created>
  <dcterms:modified xsi:type="dcterms:W3CDTF">2026-08-05T23:11:48+03:00</dcterms:modified>
</cp:coreProperties>
</file>

<file path=docProps/custom.xml><?xml version="1.0" encoding="utf-8"?>
<Properties xmlns="http://schemas.openxmlformats.org/officeDocument/2006/custom-properties" xmlns:vt="http://schemas.openxmlformats.org/officeDocument/2006/docPropsVTypes"/>
</file>