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المغربي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المغربي المالكي
</w:t>
      </w:r>
    </w:p>
    <w:p>
      <w:pPr/>
      <w:r>
        <w:rPr/>
        <w:t xml:space="preserve">خالد المغربي المالكي: </w:t>
      </w:r>
    </w:p>
    <w:p/>
    <w:p>
      <w:pPr/>
      <w:r>
        <w:rPr/>
        <w:t xml:space="preserve">جاور بمكة أوقاتا كثيرة، من سنين كثيرة. وكان في أثناء السنين التي جاور فيها بمكة، يقيم أشهرا من كل سنة، بوادى لية بقرية يقال لها [ ........... ] ويحج في غالب السنين. وربما زار المدينة النبوية غير مرة، وكان له حظ من العلم والعبادة والخير، حسن السمت، وللناس فيه اعتقاد حسن.</w:t>
      </w:r>
    </w:p>
    <w:p/>
    <w:p>
      <w:pPr/>
      <w:r>
        <w:rPr/>
        <w:t xml:space="preserve">توفى بمكة في أوائل سنة سبع عشرة وثمانمائة، ودفن بالمعلاة، وهو في سن الكهولة فيما أحسب.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2026-10-10T09:04:58+03:00</dcterms:created>
  <dcterms:modified xsi:type="dcterms:W3CDTF">2026-10-10T09:04:58+03:00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