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راجح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راجح بن أبي نمى الحسني المكي
</w:t>
      </w:r>
    </w:p>
    <w:p>
      <w:pPr/>
      <w:r>
        <w:rPr/>
        <w:t xml:space="preserve">حمزة بن راجح بن أبي نمى الحسني المكي: </w:t>
      </w:r>
    </w:p>
    <w:p/>
    <w:p>
      <w:pPr/>
      <w:r>
        <w:rPr/>
        <w:t xml:space="preserve">كان مكينا عند الشريف عجلان صاحب مكة، ويقال إنه وزيره، وكان على ما بلغني سنيا.</w:t>
      </w:r>
    </w:p>
    <w:p/>
    <w:p>
      <w:pPr/>
      <w:r>
        <w:rPr/>
        <w:t xml:space="preserve">توفى سنة خمس وستين وسبعمائة ظنا. وإلا ففي عشر السبعين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2026-10-10T09:06:08+03:00</dcterms:created>
  <dcterms:modified xsi:type="dcterms:W3CDTF">2026-10-10T09:06:08+03:00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