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جار الله بن حمزة بن راجح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جار الله بن حمزة بن راجح بن أبي نمى الحسني المكي
</w:t>
      </w:r>
    </w:p>
    <w:p>
      <w:pPr/>
      <w:r>
        <w:rPr/>
        <w:t xml:space="preserve">حمزة بن جار الله بن حمزة بن راجح بن أبي نمى الحسني المكي: </w:t>
      </w:r>
    </w:p>
    <w:p/>
    <w:p>
      <w:pPr/>
      <w:r>
        <w:rPr/>
        <w:t xml:space="preserve">كان رأس الأشراف آل أبي نمى بعد أبيه، لعقله وسماحته.</w:t>
      </w:r>
    </w:p>
    <w:p/>
    <w:p>
      <w:pPr/>
      <w:r>
        <w:rPr/>
        <w:t xml:space="preserve">توفى في ليلة الأحد سابع المحرم سنة ست عشرة وثمانمائة بمكة. ودفن بالمعلاة، وهو في عشر الخمسين فيما أحسب.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2026-10-10T09:07:28+03:00</dcterms:created>
  <dcterms:modified xsi:type="dcterms:W3CDTF">2026-10-10T09:07:28+03:00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