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محمد بن أحمد بن المسيب اليمنى المظفرى مختار الدين بن الأمير شمس الدين
</w:t>
      </w:r>
    </w:p>
    <w:p>
      <w:pPr>
        <w:jc w:val="start"/>
        <w:bidi/>
      </w:pPr>
      <w:r>
        <w:rPr>
          <w:rFonts w:ascii="arial" w:hAnsi="arial" w:eastAsia="arial" w:cs="arial"/>
          <w:sz w:val="28"/>
          <w:szCs w:val="28"/>
          <w:b w:val="1"/>
          <w:bCs w:val="1"/>
          <w:rtl/>
        </w:rPr>
        <w:t xml:space="preserve">حمد بن محمد بن أحمد بن المسيب اليمنى المظفرى مختار الدين بن الأمير شمس الدين
</w:t>
      </w:r>
    </w:p>
    <w:p>
      <w:pPr/>
      <w:r>
        <w:rPr/>
        <w:t xml:space="preserve">حمد بن محمد بن أحمد بن المسيب اليمنى المظفرى، مختار الدين، بن الأمير شمس الدين: </w:t>
      </w:r>
    </w:p>
    <w:p/>
    <w:p>
      <w:pPr/>
      <w:r>
        <w:rPr/>
        <w:t xml:space="preserve">كان من جملة العسكر الذي أنفذه الملك المظفر صاحب اليمن مع ابن برطاس، للاستيلاء على مكة، في آخر سنة اثنتين وخمسين وستمائة. فقتل رحمه الله بين الصفين، في الحرب الذي كان بين ابن برطاس وأهل مكة. وذلك في يوم الثلاثاء الرابع والعشرين من ذي القعدة الحرام، سنة اثنتين وخمسين، ودفن بالمعلاة.</w:t>
      </w:r>
    </w:p>
    <w:p/>
    <w:p>
      <w:pPr/>
      <w:r>
        <w:rPr/>
        <w:t xml:space="preserve">ومن حجر قبره لخصت غالب هذه الترجمة.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2026-08-05T16:30:00+03:00</dcterms:created>
  <dcterms:modified xsi:type="dcterms:W3CDTF">2026-08-05T16:30:00+03:00</dcterms:modified>
</cp:coreProperties>
</file>

<file path=docProps/custom.xml><?xml version="1.0" encoding="utf-8"?>
<Properties xmlns="http://schemas.openxmlformats.org/officeDocument/2006/custom-properties" xmlns:vt="http://schemas.openxmlformats.org/officeDocument/2006/docPropsVTypes"/>
</file>