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التباني
</w:t>
      </w:r>
    </w:p>
    <w:p>
      <w:pPr>
        <w:jc w:val="start"/>
        <w:bidi/>
      </w:pPr>
      <w:r>
        <w:rPr>
          <w:rFonts w:ascii="arial" w:hAnsi="arial" w:eastAsia="arial" w:cs="arial"/>
          <w:sz w:val="28"/>
          <w:szCs w:val="28"/>
          <w:b w:val="1"/>
          <w:bCs w:val="1"/>
          <w:rtl/>
        </w:rPr>
        <w:t xml:space="preserve">التباني
</w:t>
      </w:r>
    </w:p>
    <w:p>
      <w:pPr/>
      <w:r>
        <w:rPr/>
        <w:t xml:space="preserve">التباني  جلال بن أحمد يوسف التبريزي المعروف بالتباني: فقيه، انهت إليه رياسة الحنفية بمصر. نسيته إلى التبانة بظاهر القاهرة. من كتبه (منظومة في الفقه) وشرحها في أربع مجلدات. توفي بالقاهرة</w:t>
      </w:r>
    </w:p>
    <w:p>
      <w:pPr>
        <w:jc w:val="start"/>
        <w:bidi/>
      </w:pPr>
      <w:r>
        <w:rPr>
          <w:sz w:val="24"/>
          <w:szCs w:val="24"/>
          <w:b w:val="1"/>
          <w:bCs w:val="1"/>
          <w:rtl/>
        </w:rPr>
        <w:t xml:space="preserve">
الأعلام،(دار العلم للملايين - بيروت،2002،ط 15،ج 2،ص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بن أحمد، التباني
</w:t>
      </w:r>
    </w:p>
    <w:p>
      <w:pPr/>
      <w:r>
        <w:rPr/>
        <w:t xml:space="preserve">جلال بن أحمد، التباني وجلال بن أحمد بن يوسف التبريزي، الميلاسي الشهير بالتباني.</w:t>
      </w:r>
    </w:p>
    <w:p/>
    <w:p>
      <w:pPr/>
      <w:r>
        <w:rPr/>
        <w:t xml:space="preserve">أخذ الفقه عن العلامة قوام الدين الكاكي، والعلامة قوام الدين الأتقاني أمير كاتب، والعربية عن الشيخ جمال الدين بن هشام، والشيخ شهاب الدين بن عقيل، وبدر الدين بن أم قاسم.</w:t>
      </w:r>
    </w:p>
    <w:p/>
    <w:p>
      <w:pPr/>
      <w:r>
        <w:rPr/>
        <w:t xml:space="preserve">وذكر إنه سمع صحيح البخاري أو بعضه على الشيخ الإمام علاء الدين ابن التركماني.</w:t>
      </w:r>
    </w:p>
    <w:p/>
    <w:p>
      <w:pPr/>
      <w:r>
        <w:rPr/>
        <w:t xml:space="preserve">وكان فقيها، أصوليا، نحويا، بارعا.</w:t>
      </w:r>
    </w:p>
    <w:p/>
    <w:p>
      <w:pPr/>
      <w:r>
        <w:rPr/>
        <w:t xml:space="preserve">انتصب للأشغال والإفادة والفتوى مدة طويلة.</w:t>
      </w:r>
    </w:p>
    <w:p/>
    <w:p>
      <w:pPr/>
      <w:r>
        <w:rPr/>
        <w:t xml:space="preserve">وسئل بقضاء الحنفية فامتنع.</w:t>
      </w:r>
    </w:p>
    <w:p/>
    <w:p>
      <w:pPr/>
      <w:r>
        <w:rPr/>
        <w:t xml:space="preserve">وولي تدريس الصرغتمشية ومدرسة السيفي الجاي</w:t>
      </w:r>
    </w:p>
    <w:p/>
    <w:p>
      <w:pPr/>
      <w:r>
        <w:rPr/>
        <w:t xml:space="preserve">وصنف في أصول الفقه شرح المنار واختصر التلويح في شرح الجامع الصحيح لعلاء الدين بن مغلطاي وله شرح مختصر على إيضاح ابن الحاجب ومختصر في ترجيح مذهب الإمام الأعظم أبي حنيفة وتعليقة على البزدوي لم تكمل وقطعة على مشارق الأنوار في الحديث لم تكمل وقطعة على التلخيص لم تكمل ومنظوم في الفقه جمع عليه ما يناسبه من الفتوى في أربع مجلدات ورسالة في زيادة الإيمان ونقصانه ورسالة في عدم صحة الجمعة في مواضع من البلد ورسالة في البسملة وأخرى في الفرق بين الفرض العملي والواجب توفي رحمه الله في يوم الجمعة ثالث عشر رجب سنة ثلاث وتسعين وسبعمائة.</w:t>
      </w:r>
    </w:p>
    <w:p>
      <w:pPr>
        <w:jc w:val="start"/>
        <w:bidi/>
      </w:pPr>
      <w:r>
        <w:rPr>
          <w:sz w:val="24"/>
          <w:szCs w:val="24"/>
          <w:b w:val="1"/>
          <w:bCs w:val="1"/>
          <w:rtl/>
        </w:rPr>
        <w:t xml:space="preserve">
تاج التراجم في طبقات الحنفية،(دار القلم - دمشق،1992،ط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التباني
</w:t>
      </w:r>
    </w:p>
    <w:p>
      <w:pPr/>
      <w:r>
        <w:rPr/>
        <w:t xml:space="preserve">التباني  جلال.</w:t>
      </w:r>
    </w:p>
    <w:p>
      <w:pPr>
        <w:jc w:val="start"/>
        <w:bidi/>
      </w:pPr>
      <w:r>
        <w:rPr>
          <w:sz w:val="24"/>
          <w:szCs w:val="24"/>
          <w:b w:val="1"/>
          <w:bCs w:val="1"/>
          <w:rtl/>
        </w:rPr>
        <w:t xml:space="preserve">
تاج التراجم في طبقات الحنفية،(دار القلم - دمشق،1992،ط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بن أحمد بن يوسف الثيري المعروف بالتباني
</w:t>
      </w:r>
    </w:p>
    <w:p>
      <w:pPr/>
      <w:r>
        <w:rPr/>
        <w:t xml:space="preserve">جلال بن أحمد بن يوسف الثيري المعروف بالتباني جلال بن أحمد بن يوسف الثيري المعروف بالتباني بمثناة ثم موحدة ثقيلة لنزوله التبانة ظاهر القاهرة جلال الدين ويقال كان اسمه رسولا قدم القاهرة قبل الخمسين وسمع في البخاري من الشيخ علاء الدين التركماني وأخذ عنه وعن القوام الإتقاني ومن القوام الكاكي وأخذ في العربية عن ابن أم قاسم والقوام الإتقاني والشيخ جلال الدين ابن هشام وابن عقيل وبرع في الفنون مع الدين والخير وصنف عدة تصانيف منها المنظومة في الفقه وشرحها في أربع مجلدات وشرح المشارق والمنار والتلخيص واختصر شرح مغلطاي على البخاري رأيته بخطه وله تصنيف في منع تعدد الجمعة والآخر في أن الإيمان يزيد وينقص وكان محبا في السنة حسن العقيدة شديدا على الاتحادية والمبتدعة وانتهت إليه رئاسة الحنفية في زمانه وعرض عليه القضاء غير مرة فأصر على الامتناع وقال هذا فن يحتاج إلى دربة ومعرفة اصطلاح ولا يكفي فيه الاتساع في العلم ودرس بالصرغتمشية والألجيهية وكتب على الفتوى وممن أخذ عنه ولده الشيخ شرف الدين والشيخ عز الدين الحاضري الحلبي ومات في ثالث عشر رجب سنة 793 بالقاهرة عن بضع وستين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بن أحمد بن يوسف التبريزي المعروف بالتباني
</w:t>
      </w:r>
    </w:p>
    <w:p>
      <w:pPr/>
      <w:r>
        <w:rPr/>
        <w:t xml:space="preserve">جلال بن أحمد بن يوسف التبريزي المعروف بالتباني </w:t>
      </w:r>
    </w:p>
    <w:p/>
    <w:p>
      <w:pPr/>
      <w:r>
        <w:rPr/>
        <w:t xml:space="preserve">بمثناة ثم موحدة ثقيلة نسبة إلى التبانة ظاهر القاهرة قدم القاهرة قبل سنة 750 وأخذ عن جماعة من أهلها في فنون عديدة وبرع في الجميع مع الدين والخير وصنف عدة تصانيف منها المنظومة في الفقه وشرحها في أربع مجلدات وشرح المشارق والمنار والتلخيص واختصر شرج مغلطاي على البخاري وله مصنف في منع تعدد الجمع وآخر في أن الإيمان يزيد ونقص وكان محباً للحديث حسن الاعتقاد شديدا على الاتحادية والمبتدعة وانتهت إليه رياسة الحنيفة وعرض عليه القضاء غير مرة فأصر على الامتناع وقال هذا امر يحتاج إلى دراية ومعرفة اصطلاح ولا يكفي فيه مجرد الاتساع في العلم ومات في ثالث رجب سنة 793 ثلاث وتسعين وسبعمائة بالقاهرة عن بضع وستين سنة</w:t>
      </w:r>
    </w:p>
    <w:p>
      <w:pPr>
        <w:jc w:val="start"/>
        <w:bidi/>
      </w:pPr>
      <w:r>
        <w:rPr>
          <w:sz w:val="24"/>
          <w:szCs w:val="24"/>
          <w:b w:val="1"/>
          <w:bCs w:val="1"/>
          <w:rtl/>
        </w:rPr>
        <w:t xml:space="preserve">
البدر الطالع بمحاسن من بعد القرن السابع،(دار المعرفة - بيروت،0،ط 1،ج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2026-09-21T21:23:47+03:00</dcterms:created>
  <dcterms:modified xsi:type="dcterms:W3CDTF">2026-09-21T21:23:47+03:00</dcterms:modified>
</cp:coreProperties>
</file>

<file path=docProps/custom.xml><?xml version="1.0" encoding="utf-8"?>
<Properties xmlns="http://schemas.openxmlformats.org/officeDocument/2006/custom-properties" xmlns:vt="http://schemas.openxmlformats.org/officeDocument/2006/docPropsVTypes"/>
</file>