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محمد بن كامل بن يعسوب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محمد بن كامل بن يعسوب الحسني المكي
</w:t>
      </w:r>
    </w:p>
    <w:p>
      <w:pPr/>
      <w:r>
        <w:rPr/>
        <w:t xml:space="preserve">حسين بن محمد بن كامل بن يعسوب الحسني المكي: </w:t>
      </w:r>
    </w:p>
    <w:p/>
    <w:p>
      <w:pPr/>
      <w:r>
        <w:rPr/>
        <w:t xml:space="preserve">سمع من يحيى بن محمد الطبري، والصفي والرضى الطبريين، والتوزري وغيرهم. وما علمته حدث، ولا متى مات. وكان سبب موته، أنه خنق نفسه من فاقة أصابته.</w:t>
      </w:r>
    </w:p>
    <w:p/>
    <w:p>
      <w:pPr/>
      <w:r>
        <w:rPr/>
        <w:t xml:space="preserve">ذكر لي ذلك ابن أخته، شيخنا أبو اليمن محمد بن أحمد بن الرضى الطبري،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2026-10-10T09:06:35+03:00</dcterms:created>
  <dcterms:modified xsi:type="dcterms:W3CDTF">2026-10-10T09:06:35+03:00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