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علي بن محمد بن داود البيضاوي المكي الزمزمى الفرضي الحاسب
</w:t>
      </w:r>
    </w:p>
    <w:p>
      <w:pPr>
        <w:jc w:val="start"/>
        <w:bidi/>
      </w:pPr>
      <w:r>
        <w:rPr>
          <w:rFonts w:ascii="arial" w:hAnsi="arial" w:eastAsia="arial" w:cs="arial"/>
          <w:sz w:val="28"/>
          <w:szCs w:val="28"/>
          <w:b w:val="1"/>
          <w:bCs w:val="1"/>
          <w:rtl/>
        </w:rPr>
        <w:t xml:space="preserve">حسين بن علي بن محمد بن داود البيضاوي المكي الزمزمى الفرضي الحاسب
</w:t>
      </w:r>
    </w:p>
    <w:p>
      <w:pPr/>
      <w:r>
        <w:rPr/>
        <w:t xml:space="preserve">حسين بن علي بن محمد بن داود البيضاوي المكي الزمزمى الفرضي الحاسب: </w:t>
      </w:r>
    </w:p>
    <w:p/>
    <w:p>
      <w:pPr/>
      <w:r>
        <w:rPr/>
        <w:t xml:space="preserve">ولد في حدود سنة سبعين وسبعمائة بمكة، وسمع بها من غير واحد من شيوخها، والغرباء من شيوخنا وغيرهم. وأجاز له باستدعاء ابن شكر، عمر بن أميلة، وصلاح الدين بن أبي عمر، وغيرهما من أصحاب الفخر بن البخاري وغيره.</w:t>
      </w:r>
    </w:p>
    <w:p/>
    <w:p>
      <w:pPr/>
      <w:r>
        <w:rPr/>
        <w:t xml:space="preserve">وطلب العلم، وعنى كثيرا بالفرائض والحساب، وأخذ ذلك عن قاضي مكة شهاب الدين أحمد بن ظهيرة، وعن برهان الدين الفرضي البرلسى، نزيل مكة، وتبصر بهما.</w:t>
      </w:r>
    </w:p>
    <w:p/>
    <w:p>
      <w:pPr/>
      <w:r>
        <w:rPr/>
        <w:t xml:space="preserve">ثم ازداد فضلا بعد أخذه لذلك عن الإمام البارع شهاب الدين ابن الهايم، قرأ عليه بعض تواليفه بمكة. وصار يزداد نباهة حتى صار مشارا إليه في ذلك، وله خبرة بالهندسة والفلك وعمل التقاويم، وتواليف في الفرائض والحساب، وحظ من الدين والعبادة.</w:t>
      </w:r>
    </w:p>
    <w:p/>
    <w:p>
      <w:pPr/>
      <w:r>
        <w:rPr/>
        <w:t xml:space="preserve">قدم مصر غير مرة، واجتمع بفضلائها، وأثنى عليه غير واحد، وأخذ بها في علم الفلك عن جمال الدين المارديني، رئيس المؤذنين بالجامع الأزهر. ثم دخل اليمن في تجارة، واستدعاه الملك الناصر صاحب اليمن للحضور إليه، فحضر مقامه، وسأله عن أشياء، وعن حاسبين عنده، وناله منه بر قليل. وذلك في سنة تسع عشرة وثمانمائة. وعاد إلى مكة في سنة عشرين وثمانمائة، وأقام بها حتى حج ومضى إلى مصر في البر، وعاد منها في البحر.</w:t>
      </w:r>
    </w:p>
    <w:p/>
    <w:p>
      <w:pPr/>
      <w:r>
        <w:rPr/>
        <w:t xml:space="preserve">وبلغ مكة في آخر ذي القعدة من سنة إحدى وعشرين وثمانمائة، وأقام بها. وحصل له بعد الحج ضعف تعلل به ستة أيام، ثم مات في ليلة الجمعة ثالث عشرى الحجة سنة إحدى وعشرين وثمانمائة، ودفن في صبيحتها بالمعلاة. وكان الجمع لتشييعه وافرا، فالله تعالى يرحمه.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2026-08-05T16:29:31+03:00</dcterms:created>
  <dcterms:modified xsi:type="dcterms:W3CDTF">2026-08-05T16:29:31+03:00</dcterms:modified>
</cp:coreProperties>
</file>

<file path=docProps/custom.xml><?xml version="1.0" encoding="utf-8"?>
<Properties xmlns="http://schemas.openxmlformats.org/officeDocument/2006/custom-properties" xmlns:vt="http://schemas.openxmlformats.org/officeDocument/2006/docPropsVTypes"/>
</file>