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علي القاشانى الصاحب الوزير رضى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علي القاشانى الصاحب الوزير رضى الدين
</w:t>
      </w:r>
    </w:p>
    <w:p>
      <w:pPr/>
      <w:r>
        <w:rPr/>
        <w:t xml:space="preserve">حسين بن علي القاشانى، الصاحب الوزير، رضى الدين: </w:t>
      </w:r>
    </w:p>
    <w:p/>
    <w:p>
      <w:pPr/>
      <w:r>
        <w:rPr/>
        <w:t xml:space="preserve">توفى في شهر ربيع الأول سنة تسع وخمسين وستمائة.</w:t>
      </w:r>
    </w:p>
    <w:p/>
    <w:p>
      <w:pPr/>
      <w:r>
        <w:rPr/>
        <w:t xml:space="preserve">ومن حجر قبره بالمعلاة، كتبت ما ذكرته وما عرفت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2026-10-10T09:07:00+03:00</dcterms:created>
  <dcterms:modified xsi:type="dcterms:W3CDTF">2026-10-10T09:07:00+03:00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