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أبي عبد الله محمد بن حسن بن الزين محمد بن محمد بن محمد القسطلاني المكي
</w:t>
      </w:r>
    </w:p>
    <w:p>
      <w:pPr>
        <w:jc w:val="start"/>
        <w:bidi/>
      </w:pPr>
      <w:r>
        <w:rPr>
          <w:rFonts w:ascii="arial" w:hAnsi="arial" w:eastAsia="arial" w:cs="arial"/>
          <w:sz w:val="28"/>
          <w:szCs w:val="28"/>
          <w:b w:val="1"/>
          <w:bCs w:val="1"/>
          <w:rtl/>
        </w:rPr>
        <w:t xml:space="preserve">حسن بن أبي عبد الله محمد بن حسن بن الزين محمد بن محمد بن محمد القسطلاني المكي
</w:t>
      </w:r>
    </w:p>
    <w:p>
      <w:pPr/>
      <w:r>
        <w:rPr/>
        <w:t xml:space="preserve">حسن بن أبي عبد الله محمد بن حسن بن الزين محمد بن محمد بن محمد القسطلاني المكي: </w:t>
      </w:r>
    </w:p>
    <w:p/>
    <w:p>
      <w:pPr/>
      <w:r>
        <w:rPr/>
        <w:t xml:space="preserve">ذكر لي ما يقتضى أنه ولد سنة اثنتين وستين وسبعمائة، أو في التي بعدها. ودخل ديار مصر والشام، ورتب بها مرتبات صرر وغير ذلك. وولى مباشرة في الحرم المكي، ومباشرة في الأوقاف الحكمية في القاهرة. وولى نظر أوقاف الحرمين بالإسكندرية نحو</w:t>
      </w:r>
    </w:p>
    <w:p/>
    <w:p>
      <w:pPr/>
      <w:r>
        <w:rPr/>
        <w:t xml:space="preserve">سنتين، ثم توفى في النصف الثاني من شوال سنة تسع وثمانمائة بالقاهرة، بعد أن سكنها مدة سنتين متصلة بموته. وقد قارب الخمسين، سامحه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2026-08-05T17:18:23+03:00</dcterms:created>
  <dcterms:modified xsi:type="dcterms:W3CDTF">2026-08-05T17:18:23+03:00</dcterms:modified>
</cp:coreProperties>
</file>

<file path=docProps/custom.xml><?xml version="1.0" encoding="utf-8"?>
<Properties xmlns="http://schemas.openxmlformats.org/officeDocument/2006/custom-properties" xmlns:vt="http://schemas.openxmlformats.org/officeDocument/2006/docPropsVTypes"/>
</file>