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عتبة بن إبراهيم بن أبي خداش بن عتبة بن أبي لهب عبد العزى بن عبد المطلب بن هاشم بن عبد مناف القرشي الهاشمي المكي
</w:t>
      </w:r>
    </w:p>
    <w:p>
      <w:pPr>
        <w:jc w:val="start"/>
        <w:bidi/>
      </w:pPr>
      <w:r>
        <w:rPr>
          <w:rFonts w:ascii="arial" w:hAnsi="arial" w:eastAsia="arial" w:cs="arial"/>
          <w:sz w:val="28"/>
          <w:szCs w:val="28"/>
          <w:b w:val="1"/>
          <w:bCs w:val="1"/>
          <w:rtl/>
        </w:rPr>
        <w:t xml:space="preserve">الحسن بن عتبة بن إبراهيم بن أبي خداش بن عتبة بن أبي لهب عبد العزى بن عبد المطلب بن هاشم بن عبد مناف القرشي الهاشمي المكي
</w:t>
      </w:r>
    </w:p>
    <w:p>
      <w:pPr/>
      <w:r>
        <w:rPr/>
        <w:t xml:space="preserve">الحسن بن عتبة بن إبراهيم بن أبي خداش بن عتبة بن أبي لهب عبد العزى بن عبد المطلب بن هاشم بن عبد مناف القرشي الهاشمي المكي: </w:t>
      </w:r>
    </w:p>
    <w:p/>
    <w:p>
      <w:pPr/>
      <w:r>
        <w:rPr/>
        <w:t xml:space="preserve">ذكر الزبير بن بكار: أن حماد البربرى، رفعه ورفع أخاه حمزة في نفر، رفعهم من مكة إلى الرشيد، ذكر أنهم يتشيعون في آل أبي طالب، فأدخلوا على الرشيد. فعاتب حمزة على ما نسب إليه من التشيع، فأنكر وأجاب بجواب أعجب الرشيد، يأتي إن شاء الله في ترجمة حمزة، فخلى عنه وعن أخيه حسن، وأثبتهما في صحابته.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2026-10-10T10:17:45+03:00</dcterms:created>
  <dcterms:modified xsi:type="dcterms:W3CDTF">2026-10-10T10:17:45+03:00</dcterms:modified>
</cp:coreProperties>
</file>

<file path=docProps/custom.xml><?xml version="1.0" encoding="utf-8"?>
<Properties xmlns="http://schemas.openxmlformats.org/officeDocument/2006/custom-properties" xmlns:vt="http://schemas.openxmlformats.org/officeDocument/2006/docPropsVTypes"/>
</file>