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أحمد بن ميمون بن أبي الفتوح قاسم التونسي المكي المعروف بالمغربي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أحمد بن ميمون بن أبي الفتوح قاسم التونسي المكي المعروف بالمغربي
</w:t>
      </w:r>
    </w:p>
    <w:p>
      <w:pPr/>
      <w:r>
        <w:rPr/>
        <w:t xml:space="preserve">حسن بن أحمد بن ميمون بن أبي الفتوح قاسم التونسي المكي، المعروف بالمغربي: </w:t>
      </w:r>
    </w:p>
    <w:p/>
    <w:p>
      <w:pPr/>
      <w:r>
        <w:rPr/>
        <w:t xml:space="preserve">أجاز له التوزري. وله نظم كثير، إلا أنه متلاش إلى الغاية.</w:t>
      </w:r>
    </w:p>
    <w:p/>
    <w:p>
      <w:pPr/>
      <w:r>
        <w:rPr/>
        <w:t xml:space="preserve">وأجاز لي باستدعاء شيخنا ابن سكر. وليس هو أهلا للرواية لتظاهره باللعب. وكان</w:t>
      </w:r>
    </w:p>
    <w:p/>
    <w:p>
      <w:pPr/>
      <w:r>
        <w:rPr/>
        <w:t xml:space="preserve">بزازا بالقيسارية المعروفة بدار الإمارة بمكة. وبها مات في أثناء عشر التسعين وسبعمائة، سامحه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2026-08-05T17:17:16+03:00</dcterms:created>
  <dcterms:modified xsi:type="dcterms:W3CDTF">2026-08-05T17:17:16+03:00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