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جوهر بن عبد الله العجلاني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جوهر بن عبد الله العجلاني
</w:t>
      </w:r>
    </w:p>
    <w:p>
      <w:pPr/>
      <w:r>
        <w:rPr/>
        <w:t xml:space="preserve">جوهر بن عبد الله العجلاني: </w:t>
      </w:r>
    </w:p>
    <w:p/>
    <w:p>
      <w:pPr/>
      <w:r>
        <w:rPr/>
        <w:t xml:space="preserve">فتى الشريف عجلان بن رميثة، صاحب مكة. وهو الذي تولى تريبة ابنى سيده، الشريفين: علي بن عجلان، وحسن بن عجلان. وكان ينطوى على خير وديانة.</w:t>
      </w:r>
    </w:p>
    <w:p/>
    <w:p>
      <w:pPr/>
      <w:r>
        <w:rPr/>
        <w:t xml:space="preserve">توفى في سنة تسع، أو في سنة عشر وثمانمائة.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2026-10-10T10:54:52+03:00</dcterms:created>
  <dcterms:modified xsi:type="dcterms:W3CDTF">2026-10-10T10:54:52+03:00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