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إبراهيم بن محمد بن عبيد الله بن موسى بن جعفر بن علي بن محمد بن موسى الرضا بن جعفر
</w:t>
      </w:r>
    </w:p>
    <w:p>
      <w:pPr>
        <w:jc w:val="start"/>
        <w:bidi/>
      </w:pPr>
      <w:r>
        <w:rPr>
          <w:rFonts w:ascii="arial" w:hAnsi="arial" w:eastAsia="arial" w:cs="arial"/>
          <w:sz w:val="28"/>
          <w:szCs w:val="28"/>
          <w:b w:val="1"/>
          <w:bCs w:val="1"/>
          <w:rtl/>
        </w:rPr>
        <w:t xml:space="preserve">جعفر بن محمد بن إبراهيم بن محمد بن عبيد الله بن موسى بن جعفر بن علي بن محمد بن موسى الرضا بن جعفر
</w:t>
      </w:r>
    </w:p>
    <w:p>
      <w:pPr/>
      <w:r>
        <w:rPr/>
        <w:t xml:space="preserve">جعفر بن محمد بن إبراهيم بن محمد بن عبيد الله بن موسى بن جعفر بن علي بن محمد بن موسى الرضا بن جعفر بن محمد بن علي بن الحسين بن علي بن أبي طالب الحسيني: </w:t>
      </w:r>
    </w:p>
    <w:p/>
    <w:p>
      <w:pPr/>
      <w:r>
        <w:rPr/>
        <w:t xml:space="preserve">هكذا نسبه ابن حزم في الجمهرة.</w:t>
      </w:r>
    </w:p>
    <w:p/>
    <w:p>
      <w:pPr/>
      <w:r>
        <w:rPr/>
        <w:t xml:space="preserve">روى عن محمد بن إسماعيل الصائغ، وأبي حاتم الرازي وغيرهما.</w:t>
      </w:r>
    </w:p>
    <w:p/>
    <w:p>
      <w:pPr/>
      <w:r>
        <w:rPr/>
        <w:t xml:space="preserve">وذكر ابن حزم: أنه كان محدثا فاضلا، وأنه توفى في سنة إحدى وأربعين وثلاثمائة بمكة، وقد قارب المائة.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2026-08-05T17:05:29+03:00</dcterms:created>
  <dcterms:modified xsi:type="dcterms:W3CDTF">2026-08-05T17:05:29+03:00</dcterms:modified>
</cp:coreProperties>
</file>

<file path=docProps/custom.xml><?xml version="1.0" encoding="utf-8"?>
<Properties xmlns="http://schemas.openxmlformats.org/officeDocument/2006/custom-properties" xmlns:vt="http://schemas.openxmlformats.org/officeDocument/2006/docPropsVTypes"/>
</file>