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تبل بن منصور بن راجح بن محمد بن عبد الله بن عمر بن مسعود العمري المكي القائد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تبل بن منصور بن راجح بن محمد بن عبد الله بن عمر بن مسعود العمري المكي القائد
</w:t>
      </w:r>
    </w:p>
    <w:p>
      <w:pPr/>
      <w:r>
        <w:rPr/>
        <w:t xml:space="preserve">تبل بن منصور بن راجح بن محمد بن عبد الله بن عمر بن مسعود العمري المكي القائد: </w:t>
      </w:r>
    </w:p>
    <w:p/>
    <w:p>
      <w:pPr/>
      <w:r>
        <w:rPr/>
        <w:t xml:space="preserve">كان من أعيان القواد المعروفين بالعمرة، مليا.</w:t>
      </w:r>
    </w:p>
    <w:p/>
    <w:p>
      <w:pPr/>
      <w:r>
        <w:rPr/>
        <w:t xml:space="preserve">توفى في رمضان أو شوال سنة ست وعشرين وثمانمائة بمكة، ودفن بالمعلاة، وهو في عشر الخمسين أو بلغها.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2026-10-10T12:06:08+03:00</dcterms:created>
  <dcterms:modified xsi:type="dcterms:W3CDTF">2026-10-10T12:06:08+03:00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