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عبد الله الحبشي أبو عتيق بن العجمي
</w:t>
      </w:r>
    </w:p>
    <w:p>
      <w:pPr>
        <w:jc w:val="start"/>
        <w:bidi/>
      </w:pPr>
      <w:r>
        <w:rPr>
          <w:rFonts w:ascii="arial" w:hAnsi="arial" w:eastAsia="arial" w:cs="arial"/>
          <w:sz w:val="28"/>
          <w:szCs w:val="28"/>
          <w:b w:val="1"/>
          <w:bCs w:val="1"/>
          <w:rtl/>
        </w:rPr>
        <w:t xml:space="preserve">بلال بن عبد الله الحبشي أبو عتيق بن العجمي
</w:t>
      </w:r>
    </w:p>
    <w:p>
      <w:pPr/>
      <w:r>
        <w:rPr/>
        <w:t xml:space="preserve">بلال بن عبد الله الحبشي، أبو عتيق بن العجمي: </w:t>
      </w:r>
    </w:p>
    <w:p/>
    <w:p>
      <w:pPr/>
      <w:r>
        <w:rPr/>
        <w:t xml:space="preserve">سمع من أبي شرفى، يوسف بن إسحاق الطبري: جامع الترمذي، ومن المحب الطبري: سنن أبي داود، وحدث بالجامع بقراءة أمين الدين بن الوانى في العشر الأخير من رمضان سنة إحدى وثلاثين وسبعمائة بالحرم الشريف. وسمعه عليه جماعة من شيوخنا، وكان بوابا للمدرسة المنصورية وفراشا بالحرم الشريف.</w:t>
      </w:r>
    </w:p>
    <w:p/>
    <w:p>
      <w:pPr/>
      <w:r>
        <w:rPr/>
        <w:t xml:space="preserve">توفى في ذي الحجة عام ثلاث وثلاثين وسبعمائة. وهكذا وجدت وفاته بخط الآقشهرى.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2026-10-10T11:52:19+03:00</dcterms:created>
  <dcterms:modified xsi:type="dcterms:W3CDTF">2026-10-10T11:52:19+03:00</dcterms:modified>
</cp:coreProperties>
</file>

<file path=docProps/custom.xml><?xml version="1.0" encoding="utf-8"?>
<Properties xmlns="http://schemas.openxmlformats.org/officeDocument/2006/custom-properties" xmlns:vt="http://schemas.openxmlformats.org/officeDocument/2006/docPropsVTypes"/>
</file>