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إياز بن عبد الله البانياسي الأمير الأسفهسلار فخر الدين
</w:t>
      </w:r>
    </w:p>
    <w:p>
      <w:pPr>
        <w:jc w:val="start"/>
        <w:bidi/>
      </w:pPr>
      <w:r>
        <w:rPr>
          <w:rFonts w:ascii="arial" w:hAnsi="arial" w:eastAsia="arial" w:cs="arial"/>
          <w:sz w:val="28"/>
          <w:szCs w:val="28"/>
          <w:b w:val="1"/>
          <w:bCs w:val="1"/>
          <w:rtl/>
        </w:rPr>
        <w:t xml:space="preserve">إياز بن عبد الله البانياسي الأمير الأسفهسلار فخر الدين
</w:t>
      </w:r>
    </w:p>
    <w:p>
      <w:pPr/>
      <w:r>
        <w:rPr/>
        <w:t xml:space="preserve">إياز بن عبد الله البانياسي، الأمير الأسفهسلار، فخر الدين: </w:t>
      </w:r>
    </w:p>
    <w:p/>
    <w:p>
      <w:pPr/>
      <w:r>
        <w:rPr/>
        <w:t xml:space="preserve">صاحب الرباط، المعروف برباط البانياسي، قرب الصفا على يسار الذاهب إلى</w:t>
      </w:r>
    </w:p>
    <w:p/>
    <w:p>
      <w:pPr/>
      <w:r>
        <w:rPr/>
        <w:t xml:space="preserve">الصفا من المسجد الحرام. وقفه على الفقراء، المعروفين بالدين والخير والصلاح، في شهر ربيع الأول سنة خمس وعشرين وستمائة.</w:t>
      </w:r>
    </w:p>
    <w:p/>
    <w:p>
      <w:pPr/>
      <w:r>
        <w:rPr/>
        <w:t xml:space="preserve">ومن حجر في الرباط المذكور، كتبت ما ذكرته، وترجم فيه بتراجم أخر غير ذلك. وأظنه من أمراء الملك الكامل محمد بن الملك العادل أبي بكر بن أيوب، صاحب مصر؛ في الحجر مكتوب: أنه وقف في دولة الكامل.</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2026-10-10T12:54:51+03:00</dcterms:created>
  <dcterms:modified xsi:type="dcterms:W3CDTF">2026-10-10T12:54:51+03:00</dcterms:modified>
</cp:coreProperties>
</file>

<file path=docProps/custom.xml><?xml version="1.0" encoding="utf-8"?>
<Properties xmlns="http://schemas.openxmlformats.org/officeDocument/2006/custom-properties" xmlns:vt="http://schemas.openxmlformats.org/officeDocument/2006/docPropsVTypes"/>
</file>