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الشامي
</w:t>
      </w:r>
    </w:p>
    <w:p>
      <w:pPr/>
      <w:r>
        <w:rPr/>
        <w:t xml:space="preserve">أمية الشامي: </w:t>
      </w:r>
    </w:p>
    <w:p/>
    <w:p>
      <w:pPr/>
      <w:r>
        <w:rPr/>
        <w:t xml:space="preserve">قال سفيان بن عيينة: كان أمية رجلا من أهل الشام، يقوم فيصلى هناك مما يلى باب بنى سهم، فينتحب ويبكى، حتى يعلو صوته، وحتى تسيل دموعه على الحصى، فأرسل إليه الأمير: إنك تفسد على المصلين صلاتهم لكثرة بكائك وارتفاع صوتك فلو أمسكت قليلا فبكى، ثم قال: إن يوم القيامة ورثنى دموعا غزارا، فأنا أستريح إلى درئها أحيانا. وكان يدخل الطواف، فيأخذ في البكاء والنحيب، وربما سقط مغشيا عليه، وكان يقول: ألا إن المطيع لله تعالى ملك في الدنيا والآخرة.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2026-10-10T12:43:06+03:00</dcterms:created>
  <dcterms:modified xsi:type="dcterms:W3CDTF">2026-10-10T12:43:06+03:00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