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إقبال بن عبد الله الحبشي أبو عمرو القزوينى المكي
</w:t>
      </w:r>
    </w:p>
    <w:p>
      <w:pPr>
        <w:jc w:val="start"/>
        <w:bidi/>
      </w:pPr>
      <w:r>
        <w:rPr>
          <w:rFonts w:ascii="arial" w:hAnsi="arial" w:eastAsia="arial" w:cs="arial"/>
          <w:sz w:val="28"/>
          <w:szCs w:val="28"/>
          <w:b w:val="1"/>
          <w:bCs w:val="1"/>
          <w:rtl/>
        </w:rPr>
        <w:t xml:space="preserve">إقبال بن عبد الله الحبشي أبو عمرو القزوينى المكي
</w:t>
      </w:r>
    </w:p>
    <w:p>
      <w:pPr/>
      <w:r>
        <w:rPr/>
        <w:t xml:space="preserve">إقبال بن عبد الله الحبشي، أبو عمرو القزوينى المكي: </w:t>
      </w:r>
    </w:p>
    <w:p/>
    <w:p>
      <w:pPr/>
      <w:r>
        <w:rPr/>
        <w:t xml:space="preserve">سمع من أبي الحسن بن المقير: سنن أبي داود، بقراءة المحب الطبري، سنة ثلاث وثلاثين وستمائة. وحدث بها بقراءة ابن عبد الحميد، في مجالس آخرها في رجب أو شعبان، سنة سبع وثمانين وستمائة. ولم أدر متى مات، غير أنا استفدنا حياته في هذا التاريخ، وهو من شيوخ أبي حيان بالإجازة.</w:t>
      </w:r>
    </w:p>
    <w:p/>
    <w:p>
      <w:pPr/>
      <w:r>
        <w:rPr/>
        <w:t xml:space="preserve">ونقل عنه ما يدل على أن مولده في سنة أربع أو خمس وستمائة. انتهى.</w:t>
      </w:r>
    </w:p>
    <w:p/>
    <w:p>
      <w:pPr/>
      <w:r>
        <w:rPr/>
        <w:t xml:space="preserve">وهو ممن جاور بمكة سنين كثيرة، وأظنه مات بها.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2026-10-10T12:54:51+03:00</dcterms:created>
  <dcterms:modified xsi:type="dcterms:W3CDTF">2026-10-10T12:54:51+03:00</dcterms:modified>
</cp:coreProperties>
</file>

<file path=docProps/custom.xml><?xml version="1.0" encoding="utf-8"?>
<Properties xmlns="http://schemas.openxmlformats.org/officeDocument/2006/custom-properties" xmlns:vt="http://schemas.openxmlformats.org/officeDocument/2006/docPropsVTypes"/>
</file>