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إسماعيل بن عبد الرحمن بن ديلم بن محمد بن شيوخ الشيبي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إسماعيل بن عبد الرحمن بن ديلم بن محمد بن شيوخ الشيبي الحجبي
</w:t>
      </w:r>
    </w:p>
    <w:p>
      <w:pPr/>
      <w:r>
        <w:rPr/>
        <w:t xml:space="preserve">إسماعيل بن محمد بن إسماعيل بن عبد الرحمن بن ديلم بن محمد بن شيوخ الشيبي الحجبي: </w:t>
      </w:r>
    </w:p>
    <w:p/>
    <w:p>
      <w:pPr/>
      <w:r>
        <w:rPr/>
        <w:t xml:space="preserve">فاتح بيت الله الحرام. توفى في رجب سنة تسع وستين وخمسمائة.</w:t>
      </w:r>
    </w:p>
    <w:p/>
    <w:p>
      <w:pPr/>
      <w:r>
        <w:rPr/>
        <w:t xml:space="preserve">لخصت هذه الترجمة من حجر قبره بالمعلاة، وترجم فيه: بالشاب.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2026-08-05T17:17:31+03:00</dcterms:created>
  <dcterms:modified xsi:type="dcterms:W3CDTF">2026-08-05T17:17:31+03:00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