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سالم الصائغ أبو محمد البغدادي
</w:t>
      </w:r>
    </w:p>
    <w:p>
      <w:pPr>
        <w:jc w:val="start"/>
        <w:bidi/>
      </w:pPr>
      <w:r>
        <w:rPr>
          <w:rFonts w:ascii="arial" w:hAnsi="arial" w:eastAsia="arial" w:cs="arial"/>
          <w:sz w:val="28"/>
          <w:szCs w:val="28"/>
          <w:b w:val="1"/>
          <w:bCs w:val="1"/>
          <w:rtl/>
        </w:rPr>
        <w:t xml:space="preserve">إسماعيل بن سالم الصائغ أبو محمد البغدادي
</w:t>
      </w:r>
    </w:p>
    <w:p>
      <w:pPr/>
      <w:r>
        <w:rPr/>
        <w:t xml:space="preserve">إسماعيل بن سالم الصائغ، أبو محمد البغدادي: </w:t>
      </w:r>
    </w:p>
    <w:p/>
    <w:p>
      <w:pPr/>
      <w:r>
        <w:rPr/>
        <w:t xml:space="preserve">نزيل مكة، روى عن إسماعيل بن علية، وإسحاق بن يوسف الأزرق، وأبي خالد الأحمر، وعبيد الله بن موسى، وهشيم بن بشير، ويحيى بن زكريا بن أبي زائدة، ويزيد ابن هارون، ويونس المؤدب.</w:t>
      </w:r>
    </w:p>
    <w:p/>
    <w:p>
      <w:pPr/>
      <w:r>
        <w:rPr/>
        <w:t xml:space="preserve">روى عنه مسلم، والبخاري، في غير الجامع، وابنه محمد بن إسماعيل الصائغ الكبير، ويعقوب بن سفيان الفسوى، وأحمد بن داود المكي، ومحمد بن علي بن زيد الصائغ الصغير المكي، ومحمد بن إسحاق بن العباس الفاكهي. وذكره ابن حبان في الثقات.</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2026-08-06T00:54:24+03:00</dcterms:created>
  <dcterms:modified xsi:type="dcterms:W3CDTF">2026-08-06T00:54:24+03:00</dcterms:modified>
</cp:coreProperties>
</file>

<file path=docProps/custom.xml><?xml version="1.0" encoding="utf-8"?>
<Properties xmlns="http://schemas.openxmlformats.org/officeDocument/2006/custom-properties" xmlns:vt="http://schemas.openxmlformats.org/officeDocument/2006/docPropsVTypes"/>
</file>