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 العسقلاني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العسقلاني المكي
</w:t>
      </w:r>
    </w:p>
    <w:p>
      <w:pPr/>
      <w:r>
        <w:rPr/>
        <w:t xml:space="preserve">إسماعيل بن إبراهيم العسقلاني المكي: </w:t>
      </w:r>
    </w:p>
    <w:p/>
    <w:p>
      <w:pPr/>
      <w:r>
        <w:rPr/>
        <w:t xml:space="preserve">توفى ليلة الأحد سابع جمادى الأولى سنة تسع وستمائة.</w:t>
      </w:r>
    </w:p>
    <w:p/>
    <w:p>
      <w:pPr/>
      <w:r>
        <w:rPr/>
        <w:t xml:space="preserve">كتبت هذه الترجمة من حجر قبره بالمعلاة، وترجم فيه: بالفقيه.</w:t>
      </w:r>
    </w:p>
    <w:p/>
    <w:p>
      <w:pPr/>
      <w:r>
        <w:rPr/>
        <w:t xml:space="preserve">وهو من العسقلانيين أقارب الفقيه سليمان بن خليل، إمام المقام وخطيب المسجدي الحرام، الآتي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2026-10-10T12:47:08+03:00</dcterms:created>
  <dcterms:modified xsi:type="dcterms:W3CDTF">2026-10-10T12:47:08+03:00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