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يحيى بن محمد بن علي بن عبد الله بن عباس العباسي
</w:t>
      </w:r>
    </w:p>
    <w:p>
      <w:pPr>
        <w:jc w:val="start"/>
        <w:bidi/>
      </w:pPr>
      <w:r>
        <w:rPr>
          <w:rFonts w:ascii="arial" w:hAnsi="arial" w:eastAsia="arial" w:cs="arial"/>
          <w:sz w:val="28"/>
          <w:szCs w:val="28"/>
          <w:b w:val="1"/>
          <w:bCs w:val="1"/>
          <w:rtl/>
        </w:rPr>
        <w:t xml:space="preserve">إبراهيم بن يحيى بن محمد بن علي بن عبد الله بن عباس العباسي
</w:t>
      </w:r>
    </w:p>
    <w:p>
      <w:pPr/>
      <w:r>
        <w:rPr/>
        <w:t xml:space="preserve">إبراهيم بن يحيى بن محمد بن علي بن عبد الله بن عباس العباسي: </w:t>
      </w:r>
    </w:p>
    <w:p/>
    <w:p>
      <w:pPr/>
      <w:r>
        <w:rPr/>
        <w:t xml:space="preserve">أمير مكة. وليها مع الطائف، كما ذكر ابن جرير، عام مات أبو جعفر المنصور بوصية منه، ولا أدري متى عزل عن ذلك، إلا أن ابن جرير، ذكر أن جعفر بن سليمان كان واليا على مكة والطائف، في سنة إحدى وستين، وذلك يحتمل أن يكون عزل فيها أو فيما قبلها.</w:t>
      </w:r>
    </w:p>
    <w:p/>
    <w:p>
      <w:pPr/>
      <w:r>
        <w:rPr/>
        <w:t xml:space="preserve">وذكر ابن جرير: أنه ولى المدينة في سنة ست وستين، وأنه حج بالناس، وهو على المدينة في سنة سبع وستين، ثم توفى بالمدينة بعد قدومه إليها بأيام.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2026-10-11T19:21:59+03:00</dcterms:created>
  <dcterms:modified xsi:type="dcterms:W3CDTF">2026-10-11T19:21:59+03:00</dcterms:modified>
</cp:coreProperties>
</file>

<file path=docProps/custom.xml><?xml version="1.0" encoding="utf-8"?>
<Properties xmlns="http://schemas.openxmlformats.org/officeDocument/2006/custom-properties" xmlns:vt="http://schemas.openxmlformats.org/officeDocument/2006/docPropsVTypes"/>
</file>