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بهرام بن مافنة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بهرام بن مافنة
</w:t>
      </w:r>
    </w:p>
    <w:p>
      <w:pPr/>
      <w:r>
        <w:rPr/>
        <w:t xml:space="preserve">أبو منصور بهرام بن مافنة الملقب بالعادل وزير الملك أبي كليجار المرزبان ابن بويه الديلمي</w:t>
      </w:r>
    </w:p>
    <w:p/>
    <w:p>
      <w:pPr/>
      <w:r>
        <w:rPr/>
        <w:t xml:space="preserve">ولد سنة 366 وتوفي سنة 433.</w:t>
      </w:r>
    </w:p>
    <w:p/>
    <w:p>
      <w:pPr/>
      <w:r>
        <w:rPr/>
        <w:t xml:space="preserve">قال ابن الأثير الكامل كان حسن السيرة وبنى دار الكتب فيروز آباد وجعل فيها سبعة آلاف مجلد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2026-07-28T04:31:01+03:00</dcterms:created>
  <dcterms:modified xsi:type="dcterms:W3CDTF">2026-07-28T04:31:01+03:00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