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 بن حجر بن أحمد بن علي بن أحمد بن حجر الأزدي نسبا الهجرى بلدا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محمد بن حجر بن أحمد بن علي بن أحمد بن حجر الأزدي نسبا الهجرى بلدا
</w:t>
      </w:r>
    </w:p>
    <w:p>
      <w:pPr/>
      <w:r>
        <w:rPr/>
        <w:t xml:space="preserve">إبراهيم بن أحمد بن محمد بن حجر بن أحمد بن علي بن أحمد بن حجر الأزدي نسبا، الهجرى بلدا: </w:t>
      </w:r>
    </w:p>
    <w:p/>
    <w:p>
      <w:pPr/>
      <w:r>
        <w:rPr/>
        <w:t xml:space="preserve">هكذا ذكر الجندي في تاريخ اليمن، وقال: غلبت عليه العبادة، وسكن مكة وأقام بها، واعتمر في السنة التي توفى فيها: مائة وعشرين عمرة، ستون في رجب وشعبان، وستون في رمضان. ثم توفى في شوال سنة اثنتين وسبعين وستمائة.</w:t>
      </w:r>
    </w:p>
    <w:p/>
    <w:p>
      <w:pPr/>
      <w:r>
        <w:rPr/>
        <w:t xml:space="preserve">وحجر - بحاء مهملة مضمومة - انتهى كلام الجندي.</w:t>
      </w:r>
    </w:p>
    <w:p/>
    <w:p>
      <w:pPr/>
      <w:r>
        <w:rPr/>
        <w:t xml:space="preserve">ووجدت في حجر قبره بالمعلاة، أنه توفى يوم الثلاثاء الثامن والعشرين من شوال سنة اثنتين وسبعين وستمائة.</w:t>
      </w:r>
    </w:p>
    <w:p/>
    <w:p>
      <w:pPr/>
      <w:r>
        <w:rPr/>
        <w:t xml:space="preserve">وفى الحجر أيضا: الحضرمى، بعد حجر الأولى، وترجم فيه: بالشاب الصالح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2026-10-11T15:32:29+03:00</dcterms:created>
  <dcterms:modified xsi:type="dcterms:W3CDTF">2026-10-11T15:32:29+03:00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