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ناصر بن علي الكناني المكي الحنبلي
</w:t>
      </w:r>
    </w:p>
    <w:p>
      <w:pPr>
        <w:jc w:val="start"/>
        <w:bidi/>
      </w:pPr>
      <w:r>
        <w:rPr>
          <w:rFonts w:ascii="arial" w:hAnsi="arial" w:eastAsia="arial" w:cs="arial"/>
          <w:sz w:val="28"/>
          <w:szCs w:val="28"/>
          <w:b w:val="1"/>
          <w:bCs w:val="1"/>
          <w:rtl/>
        </w:rPr>
        <w:t xml:space="preserve">أحمد بن محمد بن ناصر بن علي الكناني المكي الحنبلي
</w:t>
      </w:r>
    </w:p>
    <w:p>
      <w:pPr/>
      <w:r>
        <w:rPr/>
        <w:t xml:space="preserve">أحمد بن محمد بن ناصر بن علي الكناني، المكي الحنبلي: </w:t>
      </w:r>
    </w:p>
    <w:p/>
    <w:p>
      <w:pPr/>
      <w:r>
        <w:rPr/>
        <w:t xml:space="preserve">سمع بدمشق من ابن أميلة بعض الترمذي، وسمع من بعض أصحاب ابن مزيز بحماة، وسمع بالقاهرة من عبد الوهاب القروى وغيره، وبالإسكندرية من ابن فتح الله، والبهاء الدمامينى، وسمع بمكة من غير واحد من شيوخنا، وحدث. واشتغل بالفقه على مذهب أحمد، وصار له فيه بعض إحساس.</w:t>
      </w:r>
    </w:p>
    <w:p/>
    <w:p>
      <w:pPr/>
      <w:r>
        <w:rPr/>
        <w:t xml:space="preserve">وتوفى في شهر رمضان سنة اثنتي عشرة وثمانمائة، ودفن بالمعلاة عن ستين سنة أو أزيد قليلا.</w:t>
      </w:r>
    </w:p>
    <w:p/>
    <w:p>
      <w:pPr/>
      <w:r>
        <w:rPr/>
        <w:t xml:space="preserve">وكان حصل له قبيل موته مرض تكسح منه. ودام به ذلك، حتى مات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2026-08-05T21:24:44+03:00</dcterms:created>
  <dcterms:modified xsi:type="dcterms:W3CDTF">2026-08-05T21:24:44+03:00</dcterms:modified>
</cp:coreProperties>
</file>

<file path=docProps/custom.xml><?xml version="1.0" encoding="utf-8"?>
<Properties xmlns="http://schemas.openxmlformats.org/officeDocument/2006/custom-properties" xmlns:vt="http://schemas.openxmlformats.org/officeDocument/2006/docPropsVTypes"/>
</file>