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الرضى محمد بن أبي بكر عبد الله بن خليل بن إبراهيم العسقلاني المكي يكنى أبا العباس ويعرف بابن خليل
</w:t>
      </w:r>
    </w:p>
    <w:p>
      <w:pPr>
        <w:jc w:val="start"/>
        <w:bidi/>
      </w:pPr>
      <w:r>
        <w:rPr>
          <w:rFonts w:ascii="arial" w:hAnsi="arial" w:eastAsia="arial" w:cs="arial"/>
          <w:sz w:val="28"/>
          <w:szCs w:val="28"/>
          <w:b w:val="1"/>
          <w:bCs w:val="1"/>
          <w:rtl/>
        </w:rPr>
        <w:t xml:space="preserve">أحمد بن الرضى محمد بن أبي بكر عبد الله بن خليل بن إبراهيم العسقلاني المكي يكنى أبا العباس ويعرف بابن خليل
</w:t>
      </w:r>
    </w:p>
    <w:p>
      <w:pPr/>
      <w:r>
        <w:rPr/>
        <w:t xml:space="preserve">أحمد بن الرضى محمد بن أبي بكر عبد الله بن خليل بن إبراهيم العسقلاني المكي، يكنى أبا العباس، ويعرف بابن خليل: </w:t>
      </w:r>
    </w:p>
    <w:p/>
    <w:p>
      <w:pPr/>
      <w:r>
        <w:rPr/>
        <w:t xml:space="preserve">سمع على يحيى بن محمد الطبري أربعى المحمدين للجياني، ثم سمع الكثير على الفخر التوزري، والصفي الطبري، وأخيه الرضى.</w:t>
      </w:r>
    </w:p>
    <w:p/>
    <w:p>
      <w:pPr/>
      <w:r>
        <w:rPr/>
        <w:t xml:space="preserve">وأجاز له من مصر والشام جماعة من شيوخ أخيه بهاء الدين بن خليل، وما علمته حدث، ولا علمت متى مات، إلا أنه كان حيا في سنة عشرين وسبعمائة؛ لأني وجدت له فيها سماعا على الرضى الطبري. وكانت وفاته بالعراق، على ما ذكر لي شيخنا أبو بكر بن قاسم بن عبد المعطى، وذكر أن له اشتغالا بالعلم.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2026-08-05T18:38:56+03:00</dcterms:created>
  <dcterms:modified xsi:type="dcterms:W3CDTF">2026-08-05T18:38:56+03:00</dcterms:modified>
</cp:coreProperties>
</file>

<file path=docProps/custom.xml><?xml version="1.0" encoding="utf-8"?>
<Properties xmlns="http://schemas.openxmlformats.org/officeDocument/2006/custom-properties" xmlns:vt="http://schemas.openxmlformats.org/officeDocument/2006/docPropsVTypes"/>
</file>