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الخير محمد بن حسين بن الزين محمد بن الأمين محمد ابن القطب محمد بن أبي العباس القسطلاني المكي
</w:t>
      </w:r>
    </w:p>
    <w:p>
      <w:pPr>
        <w:jc w:val="start"/>
        <w:bidi/>
      </w:pPr>
      <w:r>
        <w:rPr>
          <w:rFonts w:ascii="arial" w:hAnsi="arial" w:eastAsia="arial" w:cs="arial"/>
          <w:sz w:val="28"/>
          <w:szCs w:val="28"/>
          <w:b w:val="1"/>
          <w:bCs w:val="1"/>
          <w:rtl/>
        </w:rPr>
        <w:t xml:space="preserve">أحمد بن أبي الخير محمد بن حسين بن الزين محمد بن الأمين محمد ابن القطب محمد بن أبي العباس القسطلاني المكي
</w:t>
      </w:r>
    </w:p>
    <w:p>
      <w:pPr/>
      <w:r>
        <w:rPr/>
        <w:t xml:space="preserve">أحمد بن أبي الخير محمد بن حسين بن الزين محمد بن الأمين محمد ابن القطب محمد بن أبي العباس القسطلاني المكي: </w:t>
      </w:r>
    </w:p>
    <w:p/>
    <w:p>
      <w:pPr/>
      <w:r>
        <w:rPr/>
        <w:t xml:space="preserve">سمع بمكة من العفيف النشاورى وغيره، وأجاز له في سنة سبعين جماعة واشتغل قليلا، وجود الكتابة، وصار يكتب الوثائق، ويسجل على الحكام، مع تأديبه للأطفال بالمسجد الحرام، تحت مأذنة باب على.</w:t>
      </w:r>
    </w:p>
    <w:p/>
    <w:p>
      <w:pPr/>
      <w:r>
        <w:rPr/>
        <w:t xml:space="preserve">توفى في العشر الآخر من شوال سنة ثلاث وثمانمائة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2026-10-10T16:30:49+03:00</dcterms:created>
  <dcterms:modified xsi:type="dcterms:W3CDTF">2026-10-10T16:30:49+03:00</dcterms:modified>
</cp:coreProperties>
</file>

<file path=docProps/custom.xml><?xml version="1.0" encoding="utf-8"?>
<Properties xmlns="http://schemas.openxmlformats.org/officeDocument/2006/custom-properties" xmlns:vt="http://schemas.openxmlformats.org/officeDocument/2006/docPropsVTypes"/>
</file>