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بكر بن علي بن يوسف
</w:t>
      </w:r>
    </w:p>
    <w:p>
      <w:pPr>
        <w:jc w:val="start"/>
        <w:bidi/>
      </w:pPr>
      <w:r>
        <w:rPr>
          <w:rFonts w:ascii="arial" w:hAnsi="arial" w:eastAsia="arial" w:cs="arial"/>
          <w:sz w:val="28"/>
          <w:szCs w:val="28"/>
          <w:b w:val="1"/>
          <w:bCs w:val="1"/>
          <w:rtl/>
        </w:rPr>
        <w:t xml:space="preserve">أحمد بن محمد بن أبي بكر بن علي بن يوسف
</w:t>
      </w:r>
    </w:p>
    <w:p>
      <w:pPr/>
      <w:r>
        <w:rPr/>
        <w:t xml:space="preserve">أحمد بن محمد بن أبي بكر بن علي بن يوسف الذروى الأصل، المكي المولد والدار، المعروف بابن المرشدي المصري، يلقب بالشهاب بن الجمال: </w:t>
      </w:r>
    </w:p>
    <w:p/>
    <w:p>
      <w:pPr/>
      <w:r>
        <w:rPr/>
        <w:t xml:space="preserve">ولد بمكة سنة اثنتين وثمانمائة، وسمع بها معنا كثيرا على شيخنا مسند الحجاز، القاضي زين الدين أبي بكر بن الحسين المراغى وغيره، وحفظ المنهاج للنووي وغيره، وحضر دروس الفقه وغيره، عند غير واحد من الفضلاء بمكة، وزار المدينة النبوية ماشيا في بعض السنين، وكان ذا خير ودين وعبادة وحياء.</w:t>
      </w:r>
    </w:p>
    <w:p/>
    <w:p>
      <w:pPr/>
      <w:r>
        <w:rPr/>
        <w:t xml:space="preserve">ودخل اليمن غير مرة، منها في صحبة والده، في سنة ثلاث وعشرين وثمانمائة، وعاد في أواخرها إلى مكة، فأدركه الأجل في البحر، على نحو يومين من جدة، فمات غريقا شهيدا في نصف ذي القعدة من سنة ثلاث وعشرين وثمانمائة. وما عرف له خبر بعد الغرق، وفاز بالشهادة،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2026-08-05T16:08:18+03:00</dcterms:created>
  <dcterms:modified xsi:type="dcterms:W3CDTF">2026-08-05T16:08:18+03:00</dcterms:modified>
</cp:coreProperties>
</file>

<file path=docProps/custom.xml><?xml version="1.0" encoding="utf-8"?>
<Properties xmlns="http://schemas.openxmlformats.org/officeDocument/2006/custom-properties" xmlns:vt="http://schemas.openxmlformats.org/officeDocument/2006/docPropsVTypes"/>
</file>