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بن علي بن الحسين الشيبانى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بن علي بن الحسين الشيبانى الطبري
</w:t>
      </w:r>
    </w:p>
    <w:p>
      <w:pPr/>
      <w:r>
        <w:rPr/>
        <w:t xml:space="preserve">أحمد بن عبد الرحمن بن علي بن الحسين الشيبانى الطبري: </w:t>
      </w:r>
    </w:p>
    <w:p/>
    <w:p>
      <w:pPr/>
      <w:r>
        <w:rPr/>
        <w:t xml:space="preserve">ترجم في حجر قبره بالمعلاة: بالقاضي السعيد العالم عز الدين، وفيه بعد الطبري: قاضي الحرمين الشريفين.</w:t>
      </w:r>
    </w:p>
    <w:p/>
    <w:p>
      <w:pPr/>
      <w:r>
        <w:rPr/>
        <w:t xml:space="preserve">توفى في جمادى الأولى سنة سبع وخمسين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2026-08-05T15:08:21+03:00</dcterms:created>
  <dcterms:modified xsi:type="dcterms:W3CDTF">2026-08-05T15:08:21+03:00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