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الله بن أحمد بن سالم البغدادي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الله بن أحمد بن سالم البغدادي أبو العباس
</w:t>
      </w:r>
    </w:p>
    <w:p>
      <w:pPr/>
      <w:r>
        <w:rPr/>
        <w:t xml:space="preserve">أحمد بن عبد الله بن أحمد بن سالم البغدادي، أبو العباس: </w:t>
      </w:r>
    </w:p>
    <w:p/>
    <w:p>
      <w:pPr/>
      <w:r>
        <w:rPr/>
        <w:t xml:space="preserve">نزيل مكة. حدث عن البزار. وتوفى سنة اثنتين وخمسين وثلاثمائة.</w:t>
      </w:r>
    </w:p>
    <w:p/>
    <w:p>
      <w:pPr/>
      <w:r>
        <w:rPr/>
        <w:t xml:space="preserve">ذكره الذهبي في تاريخ الإسلام.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2026-08-05T18:18:21+03:00</dcterms:created>
  <dcterms:modified xsi:type="dcterms:W3CDTF">2026-08-05T18:18:21+03:00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