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محمد بن إبراهيم القاضي محيي الدين أبو جعفر الطبري المكي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بن محمد بن إبراهيم القاضي محيي الدين أبو جعفر الطبري المكي الشافعي
</w:t>
      </w:r>
    </w:p>
    <w:p>
      <w:pPr/>
      <w:r>
        <w:rPr/>
        <w:t xml:space="preserve">أحمد بن أبي بكر بن محمد بن إبراهيم، القاضي محيي الدين، أبو جعفر الطبري المكي الشافعي: </w:t>
      </w:r>
    </w:p>
    <w:p/>
    <w:p>
      <w:pPr/>
      <w:r>
        <w:rPr/>
        <w:t xml:space="preserve">سمع بها من زاهر بن رستم، ويونس الهاشمي، وأبي المظفر بن علوان، وأبي بكر بن حرز الله القفصى، وابن أبي الصيف. وتفقه عليه، ودرس وأفتى، وكتب بخطه كتبا علمية.</w:t>
      </w:r>
    </w:p>
    <w:p/>
    <w:p>
      <w:pPr/>
      <w:r>
        <w:rPr/>
        <w:t xml:space="preserve">وتولى القضاء بمكة نيابة - في غالب الظن - ولم أدر متى ولى ذلك، إلا أنه كان قاضيا في صفر سنة أربع عشرة وستمائة، وفيها مات في يوم الثلاثاء رابع ربيع الآخر.</w:t>
      </w:r>
    </w:p>
    <w:p/>
    <w:p>
      <w:pPr/>
      <w:r>
        <w:rPr/>
        <w:t xml:space="preserve">كذا وجدت وفاته على حجر قبره في المعلاة، بخط عبد الرحمن بن أبي حرمى وترجمه بتراجم منها: القاضي الإمام العالم الزاهد، المدرس بالحرم الشريف، محيي السنة ناصر الشرع، شرف القضاة قاضي الحرمين الشريفين والمفتي بهما. انتهى.</w:t>
      </w:r>
    </w:p>
    <w:p/>
    <w:p>
      <w:pPr/>
      <w:r>
        <w:rPr/>
        <w:t xml:space="preserve">ومولده ظهر يوم الخميس الموفى عشرين من جمادى الآخرة، سنة ثلاث وسبعين وخمسمائة بمكة.</w:t>
      </w:r>
    </w:p>
    <w:p/>
    <w:p>
      <w:pPr/>
      <w:r>
        <w:rPr/>
        <w:t xml:space="preserve">كذا وجدت مولده بخط شيخنا ابن سكر، وذكر أنه نقله من خط المحب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