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يعقوب بن أبي بكر يلقب بالمجد ابن البرهان الطبري المكي
</w:t>
      </w:r>
    </w:p>
    <w:p>
      <w:pPr>
        <w:jc w:val="start"/>
        <w:bidi/>
      </w:pPr>
      <w:r>
        <w:rPr>
          <w:rFonts w:ascii="arial" w:hAnsi="arial" w:eastAsia="arial" w:cs="arial"/>
          <w:sz w:val="28"/>
          <w:szCs w:val="28"/>
          <w:b w:val="1"/>
          <w:bCs w:val="1"/>
          <w:rtl/>
        </w:rPr>
        <w:t xml:space="preserve">أحمد بن إبراهيم بن يعقوب بن أبي بكر يلقب بالمجد ابن البرهان الطبري المكي
</w:t>
      </w:r>
    </w:p>
    <w:p>
      <w:pPr/>
      <w:r>
        <w:rPr/>
        <w:t xml:space="preserve">أحمد بن إبراهيم بن يعقوب بن أبي بكر، يلقب بالمجد، ابن البرهان الطبري المكي: </w:t>
      </w:r>
    </w:p>
    <w:p/>
    <w:p>
      <w:pPr/>
      <w:r>
        <w:rPr/>
        <w:t xml:space="preserve">سمع جامع الترمذي، من جده يعقوب، وسمع بعضه على أبي شرفى يوسف بن إسحاق الطبري، وحدث بمنتقى منه، بقراءة الشيخ بهاء الدين بن خليل المكي، وسمعه عليه الشيخ نور الدين الهمداني.</w:t>
      </w:r>
    </w:p>
    <w:p/>
    <w:p>
      <w:pPr/>
      <w:r>
        <w:rPr/>
        <w:t xml:space="preserve">وتوفى قبل الموسم من سنة إحدى وعشرين وسبعمائة بمكة، ودفن بالمعلاة.</w:t>
      </w:r>
    </w:p>
    <w:p/>
    <w:p>
      <w:pPr/>
      <w:r>
        <w:rPr/>
        <w:t xml:space="preserve">نقلت وفاته من تاريخ البرزالي.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2026-10-10T19:19:41+03:00</dcterms:created>
  <dcterms:modified xsi:type="dcterms:W3CDTF">2026-10-10T19:19:41+03:00</dcterms:modified>
</cp:coreProperties>
</file>

<file path=docProps/custom.xml><?xml version="1.0" encoding="utf-8"?>
<Properties xmlns="http://schemas.openxmlformats.org/officeDocument/2006/custom-properties" xmlns:vt="http://schemas.openxmlformats.org/officeDocument/2006/docPropsVTypes"/>
</file>