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محمد بن إبراهيم بن أبي بكر بن محمد بن إبراهيم
</w:t>
      </w:r>
    </w:p>
    <w:p>
      <w:pPr>
        <w:jc w:val="start"/>
        <w:bidi/>
      </w:pPr>
      <w:r>
        <w:rPr>
          <w:rFonts w:ascii="arial" w:hAnsi="arial" w:eastAsia="arial" w:cs="arial"/>
          <w:sz w:val="28"/>
          <w:szCs w:val="28"/>
          <w:b w:val="1"/>
          <w:bCs w:val="1"/>
          <w:rtl/>
        </w:rPr>
        <w:t xml:space="preserve">أحمد بن إبراهيم بن محمد بن إبراهيم بن أبي بكر بن محمد بن إبراهيم
</w:t>
      </w:r>
    </w:p>
    <w:p>
      <w:pPr/>
      <w:r>
        <w:rPr/>
        <w:t xml:space="preserve">أحمد بن إبراهيم بن محمد بن إبراهيم بن أبي بكر بن محمد بن إبراهيم، الإمام شهاب الدين أبو العباس، ويقال أبو المكارم، ابن الإمام رضى الدين الطبري، المكي الشافعي، إمام المقام الشريف: </w:t>
      </w:r>
    </w:p>
    <w:p/>
    <w:p>
      <w:pPr/>
      <w:r>
        <w:rPr/>
        <w:t xml:space="preserve">ولد في المحرم سنة ست وثمانين وستمائة على ما وجدت بخط الآقشهرى. وأجاز له في استدعاء مؤرخ بربيع الأول منها: المحب الطبري، وابنه جمال الدين محمد قاضي مكة، ويوسف بن إسحاق الطبري، وجماعة من شيوخ مكة، والقادمين إليها، منهم: العز أحمد بن إبراهيم الفاروثى في سنة تسع وثمانين، وجماعة من مصر، سنة ثلاث وتسعين، منهم: قاضي القضاة بها، تقي الدين بن دقيق العيد، وحافظها شرف الدين الدمياطي، ونحويها بهاء الدين بن النحاس الحلبي، وجماعة سواهم، منهم: المسندة سيدة بنت موسى بن عثمان المارانى، وجماعة من دمشق بعد السبعمائة، من شيوخ البهاء بن خليل، باستدعائه واستدعاء البرزالي وغيرهما.</w:t>
      </w:r>
    </w:p>
    <w:p/>
    <w:p>
      <w:pPr/>
      <w:r>
        <w:rPr/>
        <w:t xml:space="preserve">وسمع من والده وعمه: صحيح البخاري، وصحيح ابن حبان، وعلى والده، والفخر التوزري: سنن أبي داود، وجامع الترمذي منفردين، وسنن النسائي مجتمعين، وعلى التوزري بمفرده: الموطأ، رواية يحيى بن يحيى، والصحيحين وغير ذلك كثيرا من الكتب والأجزاء، عليهم وعلى غيرهم، من شيوخ مكة، والقادمين إليها، وتلا بالروايات على مقرئ مكة: عفيف الدين الدلاصى، والشيخ أبي عبد الله محمد بن إبراهيم القصرى. وحدث، سمع منه جماعة من شيوخنا وغيرهم.</w:t>
      </w:r>
    </w:p>
    <w:p/>
    <w:p>
      <w:pPr/>
      <w:r>
        <w:rPr/>
        <w:t xml:space="preserve">وناب في القضاء بمكة عن ابن أخته القاضي شهاب الدين الطبري، وأعاد بالمدرسة المجاهدية بمكة، وخلف أباه في الإمامة، حتى مات في ليلة الجمعة، سادس شهر الله المحرم، مفتتح سنة خمسين وسبعمائة بمكة، ودفن بالمعلاة.</w:t>
      </w:r>
    </w:p>
    <w:p/>
    <w:p>
      <w:pPr/>
      <w:r>
        <w:rPr/>
        <w:t xml:space="preserve">هكذا أرخ وفاته العفيف المطري في ذيله على «طبقات الفقهاء الشافعية» لابن كثير، وأرخها بهذا الشهر ابنه شيخنا الإمام أبو اليمن الطبري، وروى لنا عنه.</w:t>
      </w:r>
    </w:p>
    <w:p/>
    <w:p>
      <w:pPr/>
      <w:r>
        <w:rPr/>
        <w:t xml:space="preserve">ووجدت بخط شيخنا ابن سكر: أنه توفى في سنة سبع وأربعين، ووجدت بخطه أنه توفى في سنة تسع وأربعين. والصواب ما ذكرناه.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2026-10-10T19:29:00+03:00</dcterms:created>
  <dcterms:modified xsi:type="dcterms:W3CDTF">2026-10-10T19:29:00+03:00</dcterms:modified>
</cp:coreProperties>
</file>

<file path=docProps/custom.xml><?xml version="1.0" encoding="utf-8"?>
<Properties xmlns="http://schemas.openxmlformats.org/officeDocument/2006/custom-properties" xmlns:vt="http://schemas.openxmlformats.org/officeDocument/2006/docPropsVTypes"/>
</file>