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عمر القاضي شهاب الدين ابن القاضي برهان الدين المعروف بابن المحلى المصري
</w:t>
      </w:r>
    </w:p>
    <w:p>
      <w:pPr>
        <w:jc w:val="start"/>
        <w:bidi/>
      </w:pPr>
      <w:r>
        <w:rPr>
          <w:rFonts w:ascii="arial" w:hAnsi="arial" w:eastAsia="arial" w:cs="arial"/>
          <w:sz w:val="28"/>
          <w:szCs w:val="28"/>
          <w:b w:val="1"/>
          <w:bCs w:val="1"/>
          <w:rtl/>
        </w:rPr>
        <w:t xml:space="preserve">أحمد بن إبراهيم بن عمر القاضي شهاب الدين ابن القاضي برهان الدين المعروف بابن المحلى المصري
</w:t>
      </w:r>
    </w:p>
    <w:p>
      <w:pPr/>
      <w:r>
        <w:rPr/>
        <w:t xml:space="preserve">أحمد بن إبراهيم بن عمر، القاضي شهاب الدين ابن القاضي برهان الدين، المعروف بابن المحلى المصري: </w:t>
      </w:r>
    </w:p>
    <w:p/>
    <w:p>
      <w:pPr/>
      <w:r>
        <w:rPr/>
        <w:t xml:space="preserve">كان وافر الملاءة إلى الغاية، خبيرا بالتجارة، وفيه انفعال للخير، وكان صاحبنا الحافظ شهاب الدين بن حجر يحضه عليه لمكانته عنده، وجرت له على يده صدقات، وكان يثنى عليه بالعفة، وهي عجيبة من مثله، وكان مبتلى بعلة الصرع، وبها مات في ليلة الأربعاء الخامس والعشرين من ذي القعدة، سنة ست وثلاثمائة، بمكة المشرفة، عن ست وعشرين سنة، بعد قدومه إليها بأربعة أيام من اليمن، وكان طلب منه ليفوض إليه أمر</w:t>
      </w:r>
    </w:p>
    <w:p/>
    <w:p>
      <w:pPr/>
      <w:r>
        <w:rPr/>
        <w:t xml:space="preserve">المتجر السلطانى بمصر بعد موت أبيه، وكان موته في شهر ربيع الأول من هذه السنة.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2026-08-05T16:31:06+03:00</dcterms:created>
  <dcterms:modified xsi:type="dcterms:W3CDTF">2026-08-05T16:31:06+03:00</dcterms:modified>
</cp:coreProperties>
</file>

<file path=docProps/custom.xml><?xml version="1.0" encoding="utf-8"?>
<Properties xmlns="http://schemas.openxmlformats.org/officeDocument/2006/custom-properties" xmlns:vt="http://schemas.openxmlformats.org/officeDocument/2006/docPropsVTypes"/>
</file>