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أبي عمر ويقال محمد بن أبي عمر منسوبا إلى جده وقيل أبو عمر كنية أبيه يحيى الحافظ أبو عبد الله العدني
</w:t>
      </w:r>
    </w:p>
    <w:p>
      <w:pPr>
        <w:jc w:val="start"/>
        <w:bidi/>
      </w:pPr>
      <w:r>
        <w:rPr>
          <w:rFonts w:ascii="arial" w:hAnsi="arial" w:eastAsia="arial" w:cs="arial"/>
          <w:sz w:val="28"/>
          <w:szCs w:val="28"/>
          <w:b w:val="1"/>
          <w:bCs w:val="1"/>
          <w:rtl/>
        </w:rPr>
        <w:t xml:space="preserve">محمد بن يحيى بن أبي عمر ويقال محمد بن أبي عمر منسوبا إلى جده وقيل أبو عمر كنية أبيه يحيى الحافظ أبو عبد الله العدني
</w:t>
      </w:r>
    </w:p>
    <w:p>
      <w:pPr/>
      <w:r>
        <w:rPr/>
        <w:t xml:space="preserve">محمد بن يحيى بن أبي عمر، ويقال محمد بن أبي عمر، منسوبا إلى جده، وقيل أبو عمر، كنية أبيه يحيى، الحافظ أبو عبد الله العدني: </w:t>
      </w:r>
    </w:p>
    <w:p/>
    <w:p>
      <w:pPr/>
      <w:r>
        <w:rPr/>
        <w:t xml:space="preserve">نزيل مكة. سمع من سفيان بن عيينة، وعبد العزيز بن محمد الدراوردي، وعبد الوهاب الثقفي، وعبد المجيد بن أبي رواد، وعبد الرحمن العمى، وفضيل بن عياض، ومروان بن معاوية، ووكيع بن جراح، ويحيى بن سليم الطائفى، ويزيد بن هارون، وأبي عبد الرحمن المقري، وأبي معاوية الضرير، وغيرهم.</w:t>
      </w:r>
    </w:p>
    <w:p/>
    <w:p>
      <w:pPr/>
      <w:r>
        <w:rPr/>
        <w:t xml:space="preserve">وروى عنه مسلم والترمذي، وابن ماجة، وبقية بن مخلد، وزكريا الساجى ومحمد ابن إسحاق الثقفي، وهلال بن العلاء الرقى، وأبو حاتم، وأبو زرعة الرازي الدمشقي. وإسحاق بن أحمد الخزاعي. روى عنه مسنده، ووقع لنا حديثه من طريقه عاليا، وجماعة، وروى النسائي عن رجل عنه.</w:t>
      </w:r>
    </w:p>
    <w:p/>
    <w:p>
      <w:pPr/>
      <w:r>
        <w:rPr/>
        <w:t xml:space="preserve">وذكره ابن حبان في الثقات. انتهى.</w:t>
      </w:r>
    </w:p>
    <w:p/>
    <w:p>
      <w:pPr/>
      <w:r>
        <w:rPr/>
        <w:t xml:space="preserve">وقال الحسن بن أحمد بن الليث الرازي: حج سبعا وسبعين حجة، قال: وبلغني: أنه لم يقعد عن الطواف (ستين) سنة.</w:t>
      </w:r>
    </w:p>
    <w:p/>
    <w:p>
      <w:pPr/>
      <w:r>
        <w:rPr/>
        <w:t xml:space="preserve">وقال البخاري: توفى بمكة لإحدى عشرة ليلة بقيت من ذي الحجة، سنة ثلاث وأربعين ومائتين.</w:t>
      </w:r>
    </w:p>
    <w:p/>
    <w:p>
      <w:pPr/>
      <w:r>
        <w:rPr/>
        <w:t xml:space="preserve">قرأت على أبي هريرة بن الحافظ الذهبي في الغوطة، ظاهر دمشق، أن أبا نصر محمد ابن محمد بن الشيرازي، والقاسم بن مظفر الطبيب، أخبراه عن أبي عبد الله محمد ابن عبد الواحد المديني، قال: أنا إسماعيل بن علي الحمامى، قال: أنا الأديب أبو مسلم محمد بن علي بن مهرايرد المقري، قال: أنا أبو بكر محمد بن إبراهيم بن المقري الحافظ، قال: أنا إسحاق بن أحمد بن نافع الخزاعي بالمسجد الحرام، قال: ثنا محمد بن يحيى بن أبي عمر المعدنى، قال: ثنا بشر بن السرى، قال: ثنا مسعر، عن قتادة، عن أنس رضي الله عنه، قال: قال رسول الله صلى الله عليه وسلم: «سووا صفوفكم، فإن إقامة الصف من حسن الصلاة»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2026-10-10T19:30:48+03:00</dcterms:created>
  <dcterms:modified xsi:type="dcterms:W3CDTF">2026-10-10T19:30:48+03:00</dcterms:modified>
</cp:coreProperties>
</file>

<file path=docProps/custom.xml><?xml version="1.0" encoding="utf-8"?>
<Properties xmlns="http://schemas.openxmlformats.org/officeDocument/2006/custom-properties" xmlns:vt="http://schemas.openxmlformats.org/officeDocument/2006/docPropsVTypes"/>
</file>