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مسعود بن محمد بن علي بن أحمد بن عمر بن إسماعيل
</w:t>
      </w:r>
    </w:p>
    <w:p>
      <w:pPr>
        <w:jc w:val="start"/>
        <w:bidi/>
      </w:pPr>
      <w:r>
        <w:rPr>
          <w:rFonts w:ascii="arial" w:hAnsi="arial" w:eastAsia="arial" w:cs="arial"/>
          <w:sz w:val="28"/>
          <w:szCs w:val="28"/>
          <w:b w:val="1"/>
          <w:bCs w:val="1"/>
          <w:rtl/>
        </w:rPr>
        <w:t xml:space="preserve">محمد بن محمد بن مسعود بن محمد بن علي بن أحمد بن عمر بن إسماعيل
</w:t>
      </w:r>
    </w:p>
    <w:p>
      <w:pPr/>
      <w:r>
        <w:rPr/>
        <w:t xml:space="preserve">محمد - ويدعى نسيم - بن محمد - ويدعى سعيد - بن مسعود - المدعو بخواجه إمام - بن محمد بن علي بن أحمد بن عمر بن إسماعيل بن الأستاذ أبي على الحسن بن علي بن محمد بن إسحاق بن عبد الرحيم بن أحمد، العلامة الخير، نسيم الدين أبو عبد الله بن العلامة سعيد ال دين بن ضياء الدين النيسابوري الأصل، الكازرونى المولد والدار، الشافعي: </w:t>
      </w:r>
    </w:p>
    <w:p/>
    <w:p>
      <w:pPr/>
      <w:r>
        <w:rPr/>
        <w:t xml:space="preserve">نزيل مكة. هكذا وجدت نسبه لأبي على الدقاق، بخط بعض أصحابنا، ورأيت ذلك بخطه - فيما أظن - ذكر أنه ولد بكازرون من بلاد فارس، سنة خمس وثلاثين وسبعمائة. ونشأ بها، واشتغل فيها على أبيه بالعلم، وسمع منه بها بعض تصانيفه، وأنه استجاز له من الحافظ أبي الحجاج المزي وغيره من شيوخ دمشق، وأن الإجازة عنده بكازرون.</w:t>
      </w:r>
    </w:p>
    <w:p/>
    <w:p>
      <w:pPr/>
      <w:r>
        <w:rPr/>
        <w:t xml:space="preserve">سمعت منه شيئا من كتاب «المولد النبوي» الذي صنفه أبوه، وكان يرويه عنه على ما ذكر. وكان فاضلا في العربية ومتعلقاتها، مع مشاركة حسنة في الفقه وغيره، وعبادة كثيرة، وديانة متينة، وأخلاق حسنة.</w:t>
      </w:r>
    </w:p>
    <w:p/>
    <w:p>
      <w:pPr/>
      <w:r>
        <w:rPr/>
        <w:t xml:space="preserve">جاور بمكة سنين كثيرة تزيد على العشر، ملازما للعبادة والخير، وإفادة الطلبة. وسمع بها من شيخنا جمال الدين الأميوطي، وعفيف الدين النشاورى. ثم توجه من مكة إلى بلاده بإثر الحج، من سنة ثمان وتسعين وسبعمائة. فوصل إليها، ثم توجه إلى مكة، فأدركه الأجل باللار في سنة إحدى وثمانمائة، ووصل خبر وفاته إلى مكة في سنة اثنتين وثمانمائة. وكان زار المدينة النبوية في طريق الماشى، وسهل في طريقها أماكن مستصعبة. وفعل مثل ذلك في جبل حراء وجبل ثور. أجزل الله تعالى على ذلك ثوابه.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2026-10-10T21:17:42+03:00</dcterms:created>
  <dcterms:modified xsi:type="dcterms:W3CDTF">2026-10-10T21:17:42+03:00</dcterms:modified>
</cp:coreProperties>
</file>

<file path=docProps/custom.xml><?xml version="1.0" encoding="utf-8"?>
<Properties xmlns="http://schemas.openxmlformats.org/officeDocument/2006/custom-properties" xmlns:vt="http://schemas.openxmlformats.org/officeDocument/2006/docPropsVTypes"/>
</file>