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الوخشى المعروف بكش اسفهسلار وخش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الوخشى المعروف بكش اسفهسلار وخش
</w:t>
      </w:r>
    </w:p>
    <w:p>
      <w:pPr/>
      <w:r>
        <w:rPr/>
        <w:t xml:space="preserve">محمد بن محمد بن علي الوخشى المعروف بكش اسفهسلار وخش: </w:t>
      </w:r>
    </w:p>
    <w:p/>
    <w:p>
      <w:pPr/>
      <w:r>
        <w:rPr/>
        <w:t xml:space="preserve">ترجم في حجر قبره بالمعلاة بتراجم، منها: الغريب السعيد الشهيد الملكى العالمى العادلى، المؤيد المظفر المنصور، المجاهد في سبيل الله، تاج الدولة والدين اختيار الملوك والسلاطين، ملك الأمراء في العالمين.</w:t>
      </w:r>
    </w:p>
    <w:p/>
    <w:p>
      <w:pPr/>
      <w:r>
        <w:rPr/>
        <w:t xml:space="preserve">وفى حجر قبره: أنه توفى في العشر الأول من ربيع الأول، سنة ثلاث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