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علي الهروي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علي الهروي
</w:t>
      </w:r>
    </w:p>
    <w:p>
      <w:pPr/>
      <w:r>
        <w:rPr/>
        <w:t xml:space="preserve">محمد بن محمد بن علي الهروي: </w:t>
      </w:r>
    </w:p>
    <w:p/>
    <w:p>
      <w:pPr/>
      <w:r>
        <w:rPr/>
        <w:t xml:space="preserve">نزيل مكة. روى عن إسحاق الدبرى، وعنه أبو منصور محمد بن محمد القاضي الأزدي. توفى - تقريبا - في عشر الستين وثلاثمائة.</w:t>
      </w:r>
    </w:p>
    <w:p/>
    <w:p>
      <w:pPr/>
      <w:r>
        <w:rPr/>
        <w:t xml:space="preserve">ذكره الذهبي في تاريخ الإسلام، وقال: شيخ حسن. وذكر أيضا: أنه توفى في حدود الخميسن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2026-08-05T18:05:12+03:00</dcterms:created>
  <dcterms:modified xsi:type="dcterms:W3CDTF">2026-08-05T18:05:12+03:00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