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بن محمد بن إبراهيم أبي بن بكر الطبري أبو عبد الله بن الشيخ أبي اليمن
</w:t>
      </w:r>
    </w:p>
    <w:p>
      <w:pPr>
        <w:jc w:val="start"/>
        <w:bidi/>
      </w:pPr>
      <w:r>
        <w:rPr>
          <w:rFonts w:ascii="arial" w:hAnsi="arial" w:eastAsia="arial" w:cs="arial"/>
          <w:sz w:val="28"/>
          <w:szCs w:val="28"/>
          <w:b w:val="1"/>
          <w:bCs w:val="1"/>
          <w:rtl/>
        </w:rPr>
        <w:t xml:space="preserve">محمد بن محمد بن أحمد بن إبراهيم بن محمد بن إبراهيم أبي بن بكر الطبري أبو عبد الله بن الشيخ أبي اليمن
</w:t>
      </w:r>
    </w:p>
    <w:p>
      <w:pPr/>
      <w:r>
        <w:rPr/>
        <w:t xml:space="preserve">محمد بن محمد بن أحمد بن إبراهيم بن محمد بن إبراهيم أبي بن بكر الطبري، أبو عبد الله بن الشيخ أبي اليمن: </w:t>
      </w:r>
    </w:p>
    <w:p/>
    <w:p>
      <w:pPr/>
      <w:r>
        <w:rPr/>
        <w:t xml:space="preserve">سمع من أبيه وعمه وشيخنا ابن صديق وغيرهم من شيوخنا.</w:t>
      </w:r>
    </w:p>
    <w:p/>
    <w:p>
      <w:pPr/>
      <w:r>
        <w:rPr/>
        <w:t xml:space="preserve">وناب في الإمامة عن أبيه حينا، واخترمته المنية، وهو في عشر الثلاثين. وكانت وفاته في جمادى الأولى من سنة سبع وثمانمائة بمكة، ودفن بالمعلاة. وهو سبط الفقيه جمال الدين بن البرهان الطبري، المقدم ذكره.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2026-08-05T17:05:26+03:00</dcterms:created>
  <dcterms:modified xsi:type="dcterms:W3CDTF">2026-08-05T17:05:26+03:00</dcterms:modified>
</cp:coreProperties>
</file>

<file path=docProps/custom.xml><?xml version="1.0" encoding="utf-8"?>
<Properties xmlns="http://schemas.openxmlformats.org/officeDocument/2006/custom-properties" xmlns:vt="http://schemas.openxmlformats.org/officeDocument/2006/docPropsVTypes"/>
</file>