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غانم بن يوسف بن إدريس بن غانم بن مفرج الشيبي الحجبي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غانم بن يوسف بن إدريس بن غانم بن مفرج الشيبي الحجبي المكي
</w:t>
      </w:r>
    </w:p>
    <w:p>
      <w:pPr/>
      <w:r>
        <w:rPr/>
        <w:t xml:space="preserve">محمد بن غانم بن يوسف بن إدريس بن غانم بن مفرج الشيبي الحجبي المكي: </w:t>
      </w:r>
    </w:p>
    <w:p/>
    <w:p>
      <w:pPr/>
      <w:r>
        <w:rPr/>
        <w:t xml:space="preserve">سمع على الحجي، والآقشهرى، وموسى الزهراني: جامع الترمذي، بفوت ثلاثة مجالس من أوله، وعلى الآقشهري: الموطأ، رواية يحيى بن يحيى، سنة خمس وثلاثين وسبعمائة، وعلى المقري برهان الدين المسروري: جزءا جمعه القاضي شمس الدين بن العماد الحلبي، جوابا لسائل سائل عن قوله: </w:t>
      </w:r>
    </w:p>
    <w:p>
      <w:pPr/>
      <w:r>
        <w:rPr>
          <w:color w:val="0000ff"/>
        </w:rPr>
        <w:t xml:space="preserve">{وأن ليس للإنسان}</w:t>
      </w:r>
    </w:p>
    <w:p>
      <w:pPr/>
      <w:r>
        <w:rPr/>
        <w:t xml:space="preserve">، بإجازة منه. وحدث به شيخنا ابن سكر، وأجاز له سنة نيف وستين وسبعمائة، ولم أدر متى مات.</w:t>
      </w:r>
    </w:p>
    <w:p/>
    <w:p>
      <w:pPr/>
      <w:r>
        <w:rPr/>
        <w:t xml:space="preserve">وبلغني أنه ولى فتح الكعبة، نيابة عن يوسف بن أبي راجح الشيبي، إما في آخر عشر الثمانين وسبعمائة، وإلا في أوائل عشر التسعين وسبعمائة.</w:t>
      </w:r>
    </w:p>
    <w:p/>
    <w:p>
      <w:pPr/>
      <w:r>
        <w:rPr/>
        <w:t xml:space="preserve">وبلغني أن منجما أخبره بدمشق، أنه يلى فتح الكعبة، ففرح، وقال: استقلالا أو نيابة؟، قال له المنجم: لا أدري.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2026-10-10T23:25:59+03:00</dcterms:created>
  <dcterms:modified xsi:type="dcterms:W3CDTF">2026-10-10T23:25:59+03:00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