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جمال الدين بن القاضي الكبير نور الدين ابن جميع العدني
</w:t>
      </w:r>
    </w:p>
    <w:p>
      <w:pPr>
        <w:jc w:val="start"/>
        <w:bidi/>
      </w:pPr>
      <w:r>
        <w:rPr>
          <w:rFonts w:ascii="arial" w:hAnsi="arial" w:eastAsia="arial" w:cs="arial"/>
          <w:sz w:val="28"/>
          <w:szCs w:val="28"/>
          <w:b w:val="1"/>
          <w:bCs w:val="1"/>
          <w:rtl/>
        </w:rPr>
        <w:t xml:space="preserve">محمد بن علي بن يحيى جمال الدين بن القاضي الكبير نور الدين ابن جميع العدني
</w:t>
      </w:r>
    </w:p>
    <w:p>
      <w:pPr/>
      <w:r>
        <w:rPr/>
        <w:t xml:space="preserve">محمد بن علي بن يحيى جمال الدين بن القاضي الكبير نور الدين ابن جميع العدني: </w:t>
      </w:r>
    </w:p>
    <w:p/>
    <w:p>
      <w:pPr/>
      <w:r>
        <w:rPr/>
        <w:t xml:space="preserve">ولد سنة إحدى وسبعين وسبعمائة، أو في التي قبلها، بعدن، وبها نشأ وقدم منها إلى مكة، للحج والمجاورة، في سنة ثمان وثمانمائة، فحج وجاور إلى أوائل سنة أربع عشرة وثمانمائة، وتوجه بعد ذلك إلى عدن، راجيا حصول رزق يتجمل به حاله، من أخيه لأبيه، القاضي الكبير وجيه الدين عبد الرحمن، لتوليه ما كان يليه أبوها بعدن، فأدركه الأجل في أثناء سنة أربع عشرة وثمانمائة بعدن، وبلغنا نعيه بمكة، في رمضان منها. وكان ظفر من مال أبيه بجانب يسير، ثم ذهب من يده في غير لهو، وكان أبوه وافر الملاءة والحشمة، وإليه أمر المتاجر السلطانية بعدن.</w:t>
      </w:r>
    </w:p>
    <w:p/>
    <w:p>
      <w:pPr/>
      <w:r>
        <w:rPr/>
        <w:t xml:space="preserve">توفى في بكرة عيد الفطر، سنة ثلاث وثمانمائة بعدن.</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2026-08-05T17:16:47+03:00</dcterms:created>
  <dcterms:modified xsi:type="dcterms:W3CDTF">2026-08-05T17:16:47+03:00</dcterms:modified>
</cp:coreProperties>
</file>

<file path=docProps/custom.xml><?xml version="1.0" encoding="utf-8"?>
<Properties xmlns="http://schemas.openxmlformats.org/officeDocument/2006/custom-properties" xmlns:vt="http://schemas.openxmlformats.org/officeDocument/2006/docPropsVTypes"/>
</file>