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إبراهيم الحجي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إبراهيم الحجي
</w:t>
      </w:r>
    </w:p>
    <w:p>
      <w:pPr/>
      <w:r>
        <w:rPr/>
        <w:t xml:space="preserve">محمد بن عثمان بن إبراهيم الحجي: </w:t>
      </w:r>
    </w:p>
    <w:p/>
    <w:p>
      <w:pPr/>
      <w:r>
        <w:rPr/>
        <w:t xml:space="preserve">قال: كان شجر الحرم حصيدا لا شوك فيه: فلما أحدثت خزاعة المعاصى في الحرم، اقشعر الشجر من معاصيهم، فخرج له هذا الشوك.</w:t>
      </w:r>
    </w:p>
    <w:p/>
    <w:p>
      <w:pPr/>
      <w:r>
        <w:rPr/>
        <w:t xml:space="preserve">روى ذلك الزبير بن بكار في نسب قريش، عن حمزة بن عتبة اللهبى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