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الكريم بن عبد الغفار بن عبد الكريم ابن عبد الرحمن النهاوندى القاضي شمس الدين
</w:t>
      </w:r>
    </w:p>
    <w:p>
      <w:pPr>
        <w:jc w:val="start"/>
        <w:bidi/>
      </w:pPr>
      <w:r>
        <w:rPr>
          <w:rFonts w:ascii="arial" w:hAnsi="arial" w:eastAsia="arial" w:cs="arial"/>
          <w:sz w:val="28"/>
          <w:szCs w:val="28"/>
          <w:b w:val="1"/>
          <w:bCs w:val="1"/>
          <w:rtl/>
        </w:rPr>
        <w:t xml:space="preserve">محمد بن عبد الكريم بن عبد الغفار بن عبد الكريم ابن عبد الرحمن النهاوندى القاضي شمس الدين
</w:t>
      </w:r>
    </w:p>
    <w:p>
      <w:pPr/>
      <w:r>
        <w:rPr/>
        <w:t xml:space="preserve">محمد بن عبد الكريم بن عبد الغفار بن عبد الكريم ابن عبد الرحمن النهاوندى، القاضي شمس الدين: </w:t>
      </w:r>
    </w:p>
    <w:p/>
    <w:p>
      <w:pPr/>
      <w:r>
        <w:rPr/>
        <w:t xml:space="preserve">هكذا وجدته منسوبا بخط الشيخ أبي حيان في شيوخه بالإجازة.</w:t>
      </w:r>
    </w:p>
    <w:p/>
    <w:p>
      <w:pPr/>
      <w:r>
        <w:rPr/>
        <w:t xml:space="preserve">وذكر أن مولده في تاسع عشرى رمضان، سنة ثلاث وثلاثين وستمائة بمكة، وأنه سمع الثقفيات من ابن بنت الجميزى. انتهى ما ذكره أبو حيان، ولم يصرح بأنه مكي، وهو من بيت مشهور، كان بمكة.</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2026-10-11T01:08:17+03:00</dcterms:created>
  <dcterms:modified xsi:type="dcterms:W3CDTF">2026-10-11T01:08:17+03:00</dcterms:modified>
</cp:coreProperties>
</file>

<file path=docProps/custom.xml><?xml version="1.0" encoding="utf-8"?>
<Properties xmlns="http://schemas.openxmlformats.org/officeDocument/2006/custom-properties" xmlns:vt="http://schemas.openxmlformats.org/officeDocument/2006/docPropsVTypes"/>
</file>