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الضياء محمد بن عبد الله بن محمد ابن محمد بن أبي المكارم
</w:t>
      </w:r>
    </w:p>
    <w:p>
      <w:pPr>
        <w:jc w:val="start"/>
        <w:bidi/>
      </w:pPr>
      <w:r>
        <w:rPr>
          <w:rFonts w:ascii="arial" w:hAnsi="arial" w:eastAsia="arial" w:cs="arial"/>
          <w:sz w:val="28"/>
          <w:szCs w:val="28"/>
          <w:b w:val="1"/>
          <w:bCs w:val="1"/>
          <w:rtl/>
        </w:rPr>
        <w:t xml:space="preserve">محمد بن عبد الله بن محمد بن الضياء محمد بن عبد الله بن محمد ابن محمد بن أبي المكارم
</w:t>
      </w:r>
    </w:p>
    <w:p>
      <w:pPr/>
      <w:r>
        <w:rPr/>
        <w:t xml:space="preserve">محمد بن عبد الله بن محمد بن الضياء محمد بن عبد الله بن محمد ابن محمد بن أبي المكارم، يكنى أبا الخير، ويعرف بابن الضياء الحموي الأصل، المكي: </w:t>
      </w:r>
    </w:p>
    <w:p/>
    <w:p>
      <w:pPr/>
      <w:r>
        <w:rPr/>
        <w:t xml:space="preserve">سمع على شيخنا زين الدين بن حسين المراغى، لما قدم إلى مكة، أشياء كثيرة من الحديث، وقرأ في «التنبيه» حفظا، وبحث منه جانبا على قاضي مكة محب الدين أحمد ابن شيخنا قاضي مكة جمال الدين بن ظهيرة.</w:t>
      </w:r>
    </w:p>
    <w:p/>
    <w:p>
      <w:pPr/>
      <w:r>
        <w:rPr/>
        <w:t xml:space="preserve">وكان كثير الملازمة له، ويكتب عنه بعض السجلات، وتبصر به في الفقه، وفيه حياء وخير ودين.</w:t>
      </w:r>
    </w:p>
    <w:p/>
    <w:p>
      <w:pPr/>
      <w:r>
        <w:rPr/>
        <w:t xml:space="preserve">توفى ضحى يوم الأربعاء مستهل شهر جمادى الأولى سنة ثلاث وعشرين وثمانمائة بمكة المشرفة، ودفن بالمعلاة، عن نحو ثلاثين سنة.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2026-08-05T16:31:15+03:00</dcterms:created>
  <dcterms:modified xsi:type="dcterms:W3CDTF">2026-08-05T16:31:15+03:00</dcterms:modified>
</cp:coreProperties>
</file>

<file path=docProps/custom.xml><?xml version="1.0" encoding="utf-8"?>
<Properties xmlns="http://schemas.openxmlformats.org/officeDocument/2006/custom-properties" xmlns:vt="http://schemas.openxmlformats.org/officeDocument/2006/docPropsVTypes"/>
</file>