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عبد الله القاضي جمال الدين بن فهد القرشي الهاشمي المكي
</w:t>
      </w:r>
    </w:p>
    <w:p>
      <w:pPr>
        <w:jc w:val="start"/>
        <w:bidi/>
      </w:pPr>
      <w:r>
        <w:rPr>
          <w:rFonts w:ascii="arial" w:hAnsi="arial" w:eastAsia="arial" w:cs="arial"/>
          <w:sz w:val="28"/>
          <w:szCs w:val="28"/>
          <w:b w:val="1"/>
          <w:bCs w:val="1"/>
          <w:rtl/>
        </w:rPr>
        <w:t xml:space="preserve">محمد بن عبد الله بن محمد بن عبد الله القاضي جمال الدين بن فهد القرشي الهاشمي المكي
</w:t>
      </w:r>
    </w:p>
    <w:p>
      <w:pPr/>
      <w:r>
        <w:rPr/>
        <w:t xml:space="preserve">محمد بن عبد الله بن محمد بن عبد الله، القاضي جمال الدين بن فهد القرشي، الهاشمي المكي: </w:t>
      </w:r>
    </w:p>
    <w:p/>
    <w:p>
      <w:pPr/>
      <w:r>
        <w:rPr/>
        <w:t xml:space="preserve">سمع على المفتي عماد الدين عبد الرحمن بن محمد الطبري: صحيح مسلم، عن المرسى، وعلى أخيه الشرف يحيى بن محمد الطبري: أربعى المحمدين للجياني وغير ذلك، وعلى الأمين محمد بن القطب القسطلاني: الموطأ، رواية يحيى بن يحيى، وعلى التوزري الموطأ أيضا، وصحيح البخاري، ومسند الدارمي، ومسند الشافعي، والشفا، وعلى الصفي الطبري، وأخيه الرضي: صحيح البخاري وغير ذلك، وعلى الظهير بن منعة: جزء ابن نجيد، وعلى أحمد بن ديلم الشيبي: الأربعين المختارة لابن مسدى، وعلى بنتى القسطلاني: سداسيات الرازي، وغير ذلك من الكتب والأجزاء، بقراءته وقراءة غيره.</w:t>
      </w:r>
    </w:p>
    <w:p/>
    <w:p>
      <w:pPr/>
      <w:r>
        <w:rPr/>
        <w:t xml:space="preserve">وتفقه على قاضي مكة نجم الدين الطبري وصحبه، وانتفع به، وناب عنه في الحكم، وعن القاضي شهاب الدين أحمد بن القاضي نجم الدين الطبري، حتى مات، وهو القائم بولاية القاضي شهاب الدين، وكان فاضلا في الفقه وغيره.</w:t>
      </w:r>
    </w:p>
    <w:p/>
    <w:p>
      <w:pPr/>
      <w:r>
        <w:rPr/>
        <w:t xml:space="preserve">وكان يفتى ويعانى التجارة في كثير من الأشياء، وحصل دنيا طائلة، وخلف تركة لها صورة من العقار وغيره. وكان طارحا للتكلف، يجلس للحكم في السوق في غالب النهار.</w:t>
      </w:r>
    </w:p>
    <w:p/>
    <w:p>
      <w:pPr/>
      <w:r>
        <w:rPr/>
        <w:t xml:space="preserve">وذكره البرزالي في تاريخه، نقلا عن العفيف المطري، فقال: كان فقيها مفننا معظما، نزها قوالا بالحق، لم يخلف بعده ببلده مثله؛ وذكر أنه توفى في يوم الثلاثاء رابع شعبان سنة خمس وثلاثين وسبعمائة بمكة. وأن مولده في أوائل شهر رمضان سنة ثلاث وثمانين وستمائة. انتهى.</w:t>
      </w:r>
    </w:p>
    <w:p/>
    <w:p>
      <w:pPr/>
      <w:r>
        <w:rPr/>
        <w:t xml:space="preserve">ووجدت بخط ابن البرهان الفقيه جمال الدين، أنه توفى يوم الأربعاء الرابع من شعبان سنة ست وثلاثين، وأنه ناب عن القاضي نجم الدين الطبري. انتهى.</w:t>
      </w:r>
    </w:p>
    <w:p/>
    <w:p>
      <w:pPr/>
      <w:r>
        <w:rPr/>
        <w:t xml:space="preserve">والصحيح في وفاته، ما ذكره ابن البرهان؛ لأني وقفت له على إجازة كتبها لجدي القاضي أبي الفضل النويري، في عرضه عليه لجميع كتاب «التنبيه» في الفقه لأبي إسحاق الشيرازي، تاريخها سلخ رمضان سنة خمس وثلاثين. وأجاز له جميع مروياته.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2026-08-05T17:35:57+03:00</dcterms:created>
  <dcterms:modified xsi:type="dcterms:W3CDTF">2026-08-05T17:35:57+03:00</dcterms:modified>
</cp:coreProperties>
</file>

<file path=docProps/custom.xml><?xml version="1.0" encoding="utf-8"?>
<Properties xmlns="http://schemas.openxmlformats.org/officeDocument/2006/custom-properties" xmlns:vt="http://schemas.openxmlformats.org/officeDocument/2006/docPropsVTypes"/>
</file>