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أحمد بن قاسم تقي الدين بن الشيخ عفيف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أحمد بن قاسم تقي الدين بن الشيخ عفيف الدين
</w:t>
      </w:r>
    </w:p>
    <w:p>
      <w:pPr/>
      <w:r>
        <w:rPr/>
        <w:t xml:space="preserve">محمد بن عبد الله بن محمد بن أحمد بن قاسم، تقي الدين بن الشيخ عفيف الدين بن قاضي مكة تقي الدين، بن مفتي مكة شهاب الدين، الحرازي المكي: </w:t>
      </w:r>
    </w:p>
    <w:p/>
    <w:p>
      <w:pPr/>
      <w:r>
        <w:rPr/>
        <w:t xml:space="preserve">سمع من عمة أبيه شيختنا أم الحسن فاطمة، والعفيف النشاورى، وأجاز له جماعة من شيوخنا الشاميين بالإجازة، واشتغل بالعلم فعاجلته المنية.</w:t>
      </w:r>
    </w:p>
    <w:p/>
    <w:p>
      <w:pPr/>
      <w:r>
        <w:rPr/>
        <w:t xml:space="preserve">توفى في صفر سنة ثلاث وتسعين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2026-10-11T05:07:13+03:00</dcterms:created>
  <dcterms:modified xsi:type="dcterms:W3CDTF">2026-10-11T05:07:13+03:00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