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صالح بن أبى حرمى فتوح بن بنين المكي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صالح بن أبى حرمى فتوح بن بنين المكي العطار
</w:t>
      </w:r>
    </w:p>
    <w:p>
      <w:pPr/>
      <w:r>
        <w:rPr/>
        <w:t xml:space="preserve">محمد بن صالح بن أبى حرمى فتوح بن بنين، المكي العطار: </w:t>
      </w:r>
    </w:p>
    <w:p/>
    <w:p>
      <w:pPr/>
      <w:r>
        <w:rPr/>
        <w:t xml:space="preserve">توفى شهيدا محرما يوم الاثنين ثانى عشر جمادى الأولى سنة تسع وتسعين وخمسمائة. ودفن بالمعلاة.</w:t>
      </w:r>
    </w:p>
    <w:p/>
    <w:p>
      <w:pPr/>
      <w:r>
        <w:rPr/>
        <w:t xml:space="preserve">ومن حجر قبره بها لخصت هذه الترجمة. وفيه: أنه دفن يوم الخامس عشر من الشهر المذكور.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2026-08-05T16:29:33+03:00</dcterms:created>
  <dcterms:modified xsi:type="dcterms:W3CDTF">2026-08-05T16:29:33+03:00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