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صالح بن أبى حرمى فتوح بن بنين المكي العطار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صالح بن أبى حرمى فتوح بن بنين المكي العطار
</w:t>
      </w:r>
    </w:p>
    <w:p>
      <w:pPr/>
      <w:r>
        <w:rPr/>
        <w:t xml:space="preserve">محمد بن صالح بن أبى حرمى فتوح بن بنين، المكي العطار: </w:t>
      </w:r>
    </w:p>
    <w:p/>
    <w:p>
      <w:pPr/>
      <w:r>
        <w:rPr/>
        <w:t xml:space="preserve">توفى شهيدا محرما يوم الاثنين ثانى عشر جمادى الأولى سنة تسع وتسعين وخمسمائة. ودفن بالمعلاة.</w:t>
      </w:r>
    </w:p>
    <w:p/>
    <w:p>
      <w:pPr/>
      <w:r>
        <w:rPr/>
        <w:t xml:space="preserve">ومن حجر قبره بها لخصت هذه الترجمة. وفيه: أنه دفن يوم الخامس عشر من الشهر المذكور.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2026-10-11T04:58:04+03:00</dcterms:created>
  <dcterms:modified xsi:type="dcterms:W3CDTF">2026-10-11T04:58:04+03:00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